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ind w:right="300"/>
        <w:jc w:val="center"/>
        <w:rPr>
          <w:b w:val="1"/>
          <w:bCs w:val="1"/>
          <w:u w:val="single"/>
        </w:rPr>
      </w:pPr>
      <w:r>
        <w:rPr>
          <w:b w:val="1"/>
          <w:bCs w:val="1"/>
          <w:u w:val="single"/>
          <w:rtl w:val="0"/>
          <w:lang w:val="en-US"/>
        </w:rPr>
        <w:t xml:space="preserve">CV of </w:t>
      </w:r>
      <w:r>
        <w:rPr>
          <w:b w:val="1"/>
          <w:bCs w:val="1"/>
          <w:u w:val="single"/>
          <w:rtl w:val="0"/>
          <w:lang w:val="en-US"/>
        </w:rPr>
        <w:t>Tanmay Sarma</w:t>
      </w:r>
    </w:p>
    <w:p>
      <w:pPr>
        <w:pStyle w:val="Body"/>
        <w:spacing w:line="360" w:lineRule="auto"/>
        <w:ind w:right="300"/>
        <w:jc w:val="center"/>
      </w:pPr>
    </w:p>
    <w:p>
      <w:pPr>
        <w:pStyle w:val="Body"/>
        <w:spacing w:line="360" w:lineRule="auto"/>
        <w:ind w:right="300"/>
        <w:jc w:val="both"/>
      </w:pPr>
      <w:r>
        <w:rPr>
          <w:b w:val="1"/>
          <w:bCs w:val="1"/>
          <w:rtl w:val="0"/>
          <w:lang w:val="de-DE"/>
        </w:rPr>
        <w:t>Name:</w:t>
      </w:r>
      <w:r>
        <w:rPr>
          <w:rtl w:val="0"/>
          <w:lang w:val="en-US"/>
        </w:rPr>
        <w:t xml:space="preserve"> Tanmay Sarma</w:t>
      </w:r>
      <w:r>
        <w:tab/>
        <w:tab/>
        <w:tab/>
        <w:tab/>
        <w:tab/>
        <w:tab/>
      </w:r>
    </w:p>
    <w:p>
      <w:pPr>
        <w:pStyle w:val="Body"/>
        <w:spacing w:line="360" w:lineRule="auto"/>
        <w:ind w:right="300"/>
        <w:jc w:val="both"/>
      </w:pPr>
      <w:r>
        <w:rPr>
          <w:b w:val="1"/>
          <w:bCs w:val="1"/>
          <w:rtl w:val="0"/>
          <w:lang w:val="en-US"/>
        </w:rPr>
        <w:t>Designation:</w:t>
      </w:r>
      <w:r>
        <w:rPr>
          <w:rtl w:val="0"/>
          <w:lang w:val="en-US"/>
        </w:rPr>
        <w:t xml:space="preserve"> Assistant Professor</w:t>
      </w:r>
      <w:r>
        <w:rPr>
          <w:rtl w:val="0"/>
        </w:rPr>
        <w:t xml:space="preserve"> </w:t>
        <w:tab/>
        <w:tab/>
        <w:tab/>
      </w:r>
    </w:p>
    <w:p>
      <w:pPr>
        <w:pStyle w:val="Body"/>
        <w:spacing w:line="360" w:lineRule="auto"/>
        <w:ind w:right="300"/>
        <w:jc w:val="both"/>
      </w:pPr>
      <w:r>
        <w:rPr>
          <w:b w:val="1"/>
          <w:bCs w:val="1"/>
          <w:rtl w:val="0"/>
          <w:lang w:val="en-US"/>
        </w:rPr>
        <w:t>Address for Communication</w:t>
      </w:r>
      <w:r>
        <w:rPr>
          <w:b w:val="1"/>
          <w:bCs w:val="1"/>
          <w:rtl w:val="0"/>
          <w:lang w:val="en-US"/>
        </w:rPr>
        <w:t xml:space="preserve"> </w:t>
      </w:r>
      <w:r>
        <w:rPr>
          <w:b w:val="1"/>
          <w:bCs w:val="1"/>
          <w:rtl w:val="0"/>
          <w:lang w:val="en-US"/>
        </w:rPr>
        <w:t>(office)</w:t>
      </w:r>
      <w:r>
        <w:rPr>
          <w:b w:val="1"/>
          <w:bCs w:val="1"/>
          <w:rtl w:val="0"/>
          <w:lang w:val="en-US"/>
        </w:rPr>
        <w:t>:</w:t>
      </w:r>
      <w:r>
        <w:rPr>
          <w:rtl w:val="0"/>
          <w:lang w:val="en-US"/>
        </w:rPr>
        <w:t xml:space="preserve"> 3rd</w:t>
      </w:r>
      <w:r>
        <w:rPr>
          <w:rtl w:val="0"/>
          <w:lang w:val="nl-NL"/>
        </w:rPr>
        <w:t xml:space="preserve"> Floor</w:t>
      </w:r>
      <w:r>
        <w:rPr>
          <w:rtl w:val="0"/>
          <w:lang w:val="en-US"/>
        </w:rPr>
        <w:t>,</w:t>
      </w:r>
      <w:r>
        <w:rPr>
          <w:rtl w:val="0"/>
          <w:lang w:val="en-US"/>
        </w:rPr>
        <w:t xml:space="preserve"> School of Pharmaceutical Sciences</w:t>
      </w:r>
      <w:r>
        <w:rPr>
          <w:rtl w:val="0"/>
          <w:lang w:val="en-US"/>
        </w:rPr>
        <w:t xml:space="preserve"> building</w:t>
      </w:r>
      <w:r>
        <w:rPr>
          <w:rtl w:val="0"/>
        </w:rPr>
        <w:t>, Girijananda Chowdhury University, Hathkhowapara</w:t>
      </w:r>
      <w:r>
        <w:rPr>
          <w:rtl w:val="0"/>
          <w:lang w:val="en-US"/>
        </w:rPr>
        <w:t>, Azara, Guwahati, Assam, India-781017</w:t>
      </w:r>
    </w:p>
    <w:p>
      <w:pPr>
        <w:pStyle w:val="Body"/>
        <w:spacing w:line="360" w:lineRule="auto"/>
        <w:ind w:right="300"/>
        <w:jc w:val="both"/>
      </w:pPr>
      <w:r>
        <w:rPr>
          <w:rtl w:val="0"/>
        </w:rPr>
        <w:t xml:space="preserve">                 </w:t>
        <w:tab/>
        <w:tab/>
        <w:tab/>
        <w:tab/>
      </w:r>
      <w:r>
        <w:rPr>
          <w:b w:val="1"/>
          <w:bCs w:val="1"/>
          <w:rtl w:val="0"/>
          <w:lang w:val="it-IT"/>
        </w:rPr>
        <w:t xml:space="preserve">Mobile No.: </w:t>
      </w:r>
      <w:r>
        <w:rPr>
          <w:rtl w:val="0"/>
          <w:lang w:val="en-US"/>
        </w:rPr>
        <w:t>+91-9678246903</w:t>
      </w:r>
    </w:p>
    <w:p>
      <w:pPr>
        <w:pStyle w:val="Body"/>
        <w:spacing w:line="360" w:lineRule="auto"/>
        <w:ind w:right="300"/>
        <w:jc w:val="both"/>
      </w:pPr>
      <w:r>
        <w:rPr>
          <w:rtl w:val="0"/>
        </w:rPr>
        <w:t xml:space="preserve">                                                            </w:t>
      </w:r>
      <w:r>
        <w:rPr>
          <w:b w:val="1"/>
          <w:bCs w:val="1"/>
          <w:rtl w:val="0"/>
        </w:rPr>
        <w:t>WA No:</w:t>
      </w:r>
      <w:r>
        <w:rPr>
          <w:rtl w:val="0"/>
          <w:lang w:val="en-US"/>
        </w:rPr>
        <w:t xml:space="preserve"> +91-9678246903</w:t>
      </w:r>
    </w:p>
    <w:p>
      <w:pPr>
        <w:pStyle w:val="Body"/>
        <w:spacing w:line="360" w:lineRule="auto"/>
        <w:ind w:right="300"/>
        <w:jc w:val="both"/>
      </w:pPr>
      <w:r>
        <w:rPr>
          <w:rtl w:val="0"/>
        </w:rPr>
        <w:tab/>
        <w:tab/>
        <w:tab/>
        <w:tab/>
        <w:tab/>
        <w:t xml:space="preserve"> </w:t>
      </w:r>
      <w:r>
        <w:rPr>
          <w:b w:val="1"/>
          <w:bCs w:val="1"/>
          <w:rtl w:val="0"/>
        </w:rPr>
        <w:t>Email:</w:t>
      </w:r>
      <w:r>
        <w:rPr>
          <w:rtl w:val="0"/>
          <w:lang w:val="en-US"/>
        </w:rPr>
        <w:t xml:space="preserve"> </w:t>
      </w:r>
      <w:r>
        <w:rPr>
          <w:rtl w:val="0"/>
        </w:rPr>
        <w:t xml:space="preserve"> </w:t>
      </w:r>
      <w:r>
        <w:rPr>
          <w:rStyle w:val="Hyperlink.0"/>
        </w:rPr>
        <w:fldChar w:fldCharType="begin" w:fldLock="0"/>
      </w:r>
      <w:r>
        <w:rPr>
          <w:rStyle w:val="Hyperlink.0"/>
        </w:rPr>
        <w:instrText xml:space="preserve"> HYPERLINK "mailto:tanmay_pharmag@gcuniversity.ac.in"</w:instrText>
      </w:r>
      <w:r>
        <w:rPr>
          <w:rStyle w:val="Hyperlink.0"/>
        </w:rPr>
        <w:fldChar w:fldCharType="separate" w:fldLock="0"/>
      </w:r>
      <w:r>
        <w:rPr>
          <w:rStyle w:val="Hyperlink.0"/>
          <w:rtl w:val="0"/>
        </w:rPr>
        <w:t>tanmay_pharmag@gcuniversity.ac.in</w:t>
      </w:r>
      <w:r>
        <w:rPr/>
        <w:fldChar w:fldCharType="end" w:fldLock="0"/>
      </w:r>
      <w:r>
        <w:rPr>
          <w:rtl w:val="0"/>
          <w:lang w:val="en-US"/>
        </w:rPr>
        <w:t xml:space="preserve"> </w:t>
      </w:r>
      <w:r>
        <w:rPr>
          <w:rtl w:val="0"/>
        </w:rPr>
        <w:t xml:space="preserve"> </w:t>
      </w:r>
    </w:p>
    <w:p>
      <w:pPr>
        <w:pStyle w:val="Body"/>
        <w:spacing w:line="360" w:lineRule="auto"/>
        <w:ind w:right="302"/>
        <w:jc w:val="both"/>
        <w:rPr>
          <w:u w:color="002060"/>
        </w:rPr>
      </w:pPr>
      <w:r>
        <w:tab/>
        <w:tab/>
        <w:tab/>
      </w:r>
    </w:p>
    <w:p>
      <w:pPr>
        <w:pStyle w:val="Body"/>
        <w:spacing w:line="360" w:lineRule="auto"/>
        <w:ind w:right="300"/>
        <w:jc w:val="both"/>
      </w:pPr>
      <w:r>
        <w:rPr>
          <w:b w:val="1"/>
          <w:bCs w:val="1"/>
          <w:rtl w:val="0"/>
          <w:lang w:val="en-US"/>
        </w:rPr>
        <w:t>Date of Birth:</w:t>
      </w:r>
      <w:r>
        <w:rPr>
          <w:rtl w:val="0"/>
          <w:lang w:val="en-US"/>
        </w:rPr>
        <w:t xml:space="preserve"> 23/07/1996</w:t>
      </w:r>
      <w:r>
        <w:rPr>
          <w:rtl w:val="0"/>
        </w:rPr>
        <w:tab/>
        <w:tab/>
        <w:tab/>
        <w:tab/>
        <w:t xml:space="preserve">  </w:t>
      </w:r>
    </w:p>
    <w:p>
      <w:pPr>
        <w:pStyle w:val="Body"/>
        <w:spacing w:line="360" w:lineRule="auto"/>
        <w:ind w:right="300"/>
        <w:jc w:val="both"/>
        <w:rPr>
          <w:b w:val="1"/>
          <w:bCs w:val="1"/>
          <w:u w:val="single"/>
        </w:rPr>
      </w:pPr>
      <w:r>
        <w:rPr>
          <w:b w:val="1"/>
          <w:bCs w:val="1"/>
          <w:rtl w:val="0"/>
          <w:lang w:val="en-US"/>
        </w:rPr>
        <w:t>Educational Qualifications:</w:t>
      </w:r>
    </w:p>
    <w:tbl>
      <w:tblPr>
        <w:tblW w:w="9170" w:type="dxa"/>
        <w:jc w:val="left"/>
        <w:tblInd w:w="28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9"/>
        <w:gridCol w:w="1898"/>
        <w:gridCol w:w="1350"/>
        <w:gridCol w:w="2665"/>
        <w:gridCol w:w="2778"/>
      </w:tblGrid>
      <w:tr>
        <w:tblPrEx>
          <w:shd w:val="clear" w:color="auto" w:fill="ced7e7"/>
        </w:tblPrEx>
        <w:trPr>
          <w:trHeight w:val="6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152"/>
            </w:tcMar>
            <w:vAlign w:val="center"/>
          </w:tcPr>
          <w:p>
            <w:pPr>
              <w:pStyle w:val="Table Paragraph"/>
              <w:ind w:left="10" w:right="72" w:firstLine="0"/>
              <w:jc w:val="center"/>
            </w:pPr>
            <w:r>
              <w:rPr>
                <w:b w:val="1"/>
                <w:bCs w:val="1"/>
                <w:sz w:val="24"/>
                <w:szCs w:val="24"/>
                <w:rtl w:val="0"/>
                <w:lang w:val="en-US"/>
              </w:rPr>
              <w:t>Sl.</w:t>
            </w:r>
            <w:r>
              <w:rPr>
                <w:b w:val="1"/>
                <w:bCs w:val="1"/>
                <w:sz w:val="24"/>
                <w:szCs w:val="24"/>
                <w:rtl w:val="0"/>
                <w:lang w:val="en-US"/>
              </w:rPr>
              <w:t xml:space="preserve"> </w:t>
            </w:r>
            <w:r>
              <w:rPr>
                <w:b w:val="1"/>
                <w:bCs w:val="1"/>
                <w:sz w:val="24"/>
                <w:szCs w:val="24"/>
                <w:rtl w:val="0"/>
                <w:lang w:val="en-US"/>
              </w:rPr>
              <w:t>No</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69"/>
              <w:bottom w:type="dxa" w:w="80"/>
              <w:right w:type="dxa" w:w="80"/>
            </w:tcMar>
            <w:vAlign w:val="center"/>
          </w:tcPr>
          <w:p>
            <w:pPr>
              <w:pStyle w:val="Table Paragraph"/>
              <w:jc w:val="center"/>
            </w:pPr>
            <w:r>
              <w:rPr>
                <w:b w:val="1"/>
                <w:bCs w:val="1"/>
                <w:sz w:val="24"/>
                <w:szCs w:val="24"/>
                <w:rtl w:val="0"/>
                <w:lang w:val="en-US"/>
              </w:rPr>
              <w:t>Exami</w:t>
            </w:r>
            <w:r>
              <w:rPr>
                <w:b w:val="1"/>
                <w:bCs w:val="1"/>
                <w:sz w:val="24"/>
                <w:szCs w:val="24"/>
                <w:rtl w:val="0"/>
                <w:lang w:val="en-US"/>
              </w:rPr>
              <w:t>n</w:t>
            </w:r>
            <w:r>
              <w:rPr>
                <w:b w:val="1"/>
                <w:bCs w:val="1"/>
                <w:sz w:val="24"/>
                <w:szCs w:val="24"/>
                <w:rtl w:val="0"/>
                <w:lang w:val="en-US"/>
              </w:rPr>
              <w:t>ation Passed</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49"/>
              <w:bottom w:type="dxa" w:w="80"/>
              <w:right w:type="dxa" w:w="80"/>
            </w:tcMar>
            <w:vAlign w:val="center"/>
          </w:tcPr>
          <w:p>
            <w:pPr>
              <w:pStyle w:val="Table Paragraph"/>
              <w:ind w:left="169" w:hanging="169"/>
              <w:jc w:val="center"/>
            </w:pPr>
            <w:r>
              <w:rPr>
                <w:b w:val="1"/>
                <w:bCs w:val="1"/>
                <w:sz w:val="24"/>
                <w:szCs w:val="24"/>
                <w:rtl w:val="0"/>
                <w:lang w:val="en-US"/>
              </w:rPr>
              <w:t>Year of passing</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68"/>
              <w:bottom w:type="dxa" w:w="80"/>
              <w:right w:type="dxa" w:w="80"/>
            </w:tcMar>
            <w:vAlign w:val="center"/>
          </w:tcPr>
          <w:p>
            <w:pPr>
              <w:pStyle w:val="Table Paragraph"/>
              <w:jc w:val="center"/>
            </w:pPr>
            <w:r>
              <w:rPr>
                <w:b w:val="1"/>
                <w:bCs w:val="1"/>
                <w:sz w:val="24"/>
                <w:szCs w:val="24"/>
                <w:rtl w:val="0"/>
                <w:lang w:val="en-US"/>
              </w:rPr>
              <w:t>Board / Council /University</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68"/>
              <w:bottom w:type="dxa" w:w="80"/>
              <w:right w:type="dxa" w:w="80"/>
            </w:tcMar>
            <w:vAlign w:val="center"/>
          </w:tcPr>
          <w:p>
            <w:pPr>
              <w:pStyle w:val="Table Paragraph"/>
              <w:jc w:val="center"/>
            </w:pPr>
            <w:r>
              <w:rPr>
                <w:b w:val="1"/>
                <w:bCs w:val="1"/>
                <w:sz w:val="24"/>
                <w:szCs w:val="24"/>
                <w:rtl w:val="0"/>
                <w:lang w:val="en-US"/>
              </w:rPr>
              <w:t>Specialization</w:t>
            </w:r>
          </w:p>
        </w:tc>
      </w:tr>
      <w:tr>
        <w:tblPrEx>
          <w:shd w:val="clear" w:color="auto" w:fill="ced7e7"/>
        </w:tblPrEx>
        <w:trPr>
          <w:trHeight w:val="6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1</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HSLC/10</w:t>
            </w:r>
            <w:r>
              <w:rPr>
                <w:sz w:val="24"/>
                <w:szCs w:val="24"/>
                <w:vertAlign w:val="superscript"/>
                <w:rtl w:val="0"/>
                <w:lang w:val="en-US"/>
              </w:rPr>
              <w:t>th</w:t>
            </w:r>
            <w:r>
              <w:rPr>
                <w:sz w:val="24"/>
                <w:szCs w:val="24"/>
                <w:rtl w:val="0"/>
                <w:lang w:val="en-US"/>
              </w:rPr>
              <w:t xml:space="preserve"> Std.</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2013</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shd w:val="clear" w:color="auto" w:fill="ffffff"/>
                <w:rtl w:val="0"/>
              </w:rPr>
              <w:t>Board of Secondary Education, Assam</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2</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HSSLC/10+2 Std.</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2015</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shd w:val="clear" w:color="auto" w:fill="ffffff"/>
                <w:rtl w:val="0"/>
              </w:rPr>
              <w:t>Assam Higher Secondary Education Council</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Science</w:t>
            </w:r>
          </w:p>
        </w:tc>
      </w:tr>
      <w:tr>
        <w:tblPrEx>
          <w:shd w:val="clear" w:color="auto" w:fill="ced7e7"/>
        </w:tblPrEx>
        <w:trPr>
          <w:trHeight w:val="6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3</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Bachelor of Pharmacy</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2019</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shd w:val="clear" w:color="auto" w:fill="ffffff"/>
                <w:rtl w:val="0"/>
              </w:rPr>
              <w:t>Assam Science and Technology University</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rtl w:val="0"/>
              </w:rPr>
              <w:t>Pharmaceutical Sciences</w:t>
            </w:r>
          </w:p>
        </w:tc>
      </w:tr>
      <w:tr>
        <w:tblPrEx>
          <w:shd w:val="clear" w:color="auto" w:fill="ced7e7"/>
        </w:tblPrEx>
        <w:trPr>
          <w:trHeight w:val="6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4</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Master of Pharmacy</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2022</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shd w:val="clear" w:color="auto" w:fill="ffffff"/>
                <w:rtl w:val="0"/>
              </w:rPr>
              <w:t>Assam Science and Technology University</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Pharmacology</w:t>
            </w:r>
          </w:p>
        </w:tc>
      </w:tr>
      <w:tr>
        <w:tblPrEx>
          <w:shd w:val="clear" w:color="auto" w:fill="ced7e7"/>
        </w:tblPrEx>
        <w:trPr>
          <w:trHeight w:val="900" w:hRule="atLeast"/>
        </w:trPr>
        <w:tc>
          <w:tcPr>
            <w:tcW w:type="dxa" w:w="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6</w:t>
            </w:r>
          </w:p>
        </w:tc>
        <w:tc>
          <w:tcPr>
            <w:tcW w:type="dxa" w:w="18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z w:val="24"/>
                <w:szCs w:val="24"/>
                <w:rtl w:val="0"/>
                <w:lang w:val="en-US"/>
              </w:rPr>
              <w:t>Ph. D. (</w:t>
            </w:r>
            <w:r>
              <w:rPr>
                <w:sz w:val="24"/>
                <w:szCs w:val="24"/>
                <w:rtl w:val="0"/>
                <w:lang w:val="en-US"/>
              </w:rPr>
              <w:t>Pharmaceutical Science</w:t>
            </w:r>
            <w:r>
              <w:rPr>
                <w:sz w:val="24"/>
                <w:szCs w:val="24"/>
                <w:rtl w:val="0"/>
                <w:lang w:val="en-US"/>
              </w:rPr>
              <w:t>)</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Pursuing</w:t>
            </w:r>
          </w:p>
        </w:tc>
        <w:tc>
          <w:tcPr>
            <w:tcW w:type="dxa" w:w="2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shd w:val="clear" w:color="auto" w:fill="ffffff"/>
                <w:rtl w:val="0"/>
              </w:rPr>
              <w:t>Girijananda Chowdhury University</w:t>
            </w:r>
          </w:p>
        </w:tc>
        <w:tc>
          <w:tcPr>
            <w:tcW w:type="dxa" w:w="27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bidi w:val="0"/>
              <w:spacing w:before="0" w:line="240" w:lineRule="auto"/>
              <w:ind w:left="0" w:right="0" w:firstLine="0"/>
              <w:jc w:val="center"/>
              <w:rPr>
                <w:rtl w:val="0"/>
              </w:rPr>
            </w:pPr>
            <w:r>
              <w:rPr>
                <w:rFonts w:ascii="Times New Roman" w:hAnsi="Times New Roman"/>
                <w:rtl w:val="0"/>
              </w:rPr>
              <w:t>Pharmaceutical Sciences</w:t>
            </w:r>
          </w:p>
        </w:tc>
      </w:tr>
    </w:tbl>
    <w:p>
      <w:pPr>
        <w:pStyle w:val="Body"/>
        <w:widowControl w:val="0"/>
        <w:spacing w:line="360" w:lineRule="auto"/>
        <w:ind w:left="180" w:hanging="180"/>
        <w:jc w:val="both"/>
        <w:rPr>
          <w:u w:val="single"/>
        </w:rPr>
      </w:pPr>
    </w:p>
    <w:p>
      <w:pPr>
        <w:pStyle w:val="Body"/>
        <w:spacing w:line="360" w:lineRule="auto"/>
        <w:ind w:right="300"/>
        <w:jc w:val="both"/>
      </w:pPr>
      <w:r>
        <w:tab/>
        <w:tab/>
        <w:tab/>
        <w:tab/>
      </w:r>
    </w:p>
    <w:p>
      <w:pPr>
        <w:pStyle w:val="Body"/>
        <w:spacing w:line="360" w:lineRule="auto"/>
        <w:ind w:right="300"/>
        <w:jc w:val="both"/>
      </w:pPr>
      <w:r>
        <w:rPr>
          <w:b w:val="1"/>
          <w:bCs w:val="1"/>
          <w:rtl w:val="0"/>
          <w:lang w:val="en-US"/>
        </w:rPr>
        <w:t>Languages known:</w:t>
      </w:r>
      <w:r>
        <w:rPr>
          <w:rtl w:val="0"/>
          <w:lang w:val="en-US"/>
        </w:rPr>
        <w:t xml:space="preserve"> English, Assamese, Hindi</w:t>
      </w:r>
      <w:r>
        <w:rPr>
          <w:rtl w:val="0"/>
        </w:rPr>
        <w:tab/>
        <w:tab/>
        <w:tab/>
        <w:t xml:space="preserve"> </w:t>
      </w:r>
    </w:p>
    <w:p>
      <w:pPr>
        <w:pStyle w:val="Body"/>
        <w:spacing w:line="360" w:lineRule="auto"/>
        <w:ind w:right="300"/>
        <w:jc w:val="both"/>
      </w:pPr>
      <w:r>
        <w:rPr>
          <w:rtl w:val="0"/>
          <w:lang w:val="it-IT"/>
        </w:rPr>
        <w:t>(Read, Write &amp; Speak)</w:t>
        <w:tab/>
        <w:tab/>
      </w:r>
    </w:p>
    <w:p>
      <w:pPr>
        <w:pStyle w:val="Body"/>
        <w:spacing w:line="360" w:lineRule="auto"/>
        <w:ind w:right="302"/>
        <w:jc w:val="both"/>
      </w:pPr>
    </w:p>
    <w:p>
      <w:pPr>
        <w:pStyle w:val="Body"/>
        <w:spacing w:line="360" w:lineRule="auto"/>
        <w:ind w:right="300"/>
        <w:jc w:val="both"/>
      </w:pPr>
    </w:p>
    <w:p>
      <w:pPr>
        <w:pStyle w:val="Body"/>
        <w:spacing w:line="360" w:lineRule="auto"/>
        <w:ind w:right="300"/>
        <w:jc w:val="both"/>
      </w:pPr>
      <w:r>
        <w:rPr>
          <w:b w:val="1"/>
          <w:bCs w:val="1"/>
          <w:rtl w:val="0"/>
          <w:lang w:val="en-US"/>
        </w:rPr>
        <w:t>Academic/ Administrative Experience:</w:t>
      </w:r>
      <w:r>
        <w:tab/>
        <w:tab/>
        <w:tab/>
      </w:r>
    </w:p>
    <w:p>
      <w:pPr>
        <w:pStyle w:val="Body"/>
        <w:numPr>
          <w:ilvl w:val="0"/>
          <w:numId w:val="2"/>
        </w:numPr>
        <w:spacing w:line="360" w:lineRule="auto"/>
        <w:ind w:right="302"/>
        <w:jc w:val="both"/>
        <w:rPr>
          <w:lang w:val="en-US"/>
        </w:rPr>
      </w:pPr>
      <w:r>
        <w:rPr>
          <w:rtl w:val="0"/>
          <w:lang w:val="en-US"/>
        </w:rPr>
        <w:t>Assistant Professor, The Assam Royal Global University, Guwahati, Assam (August 2022-January 2026)</w:t>
      </w:r>
    </w:p>
    <w:p>
      <w:pPr>
        <w:pStyle w:val="Body"/>
        <w:numPr>
          <w:ilvl w:val="0"/>
          <w:numId w:val="2"/>
        </w:numPr>
        <w:spacing w:line="360" w:lineRule="auto"/>
        <w:ind w:right="302"/>
        <w:jc w:val="both"/>
        <w:rPr>
          <w:lang w:val="en-US"/>
        </w:rPr>
      </w:pPr>
      <w:r>
        <w:rPr>
          <w:rtl w:val="0"/>
          <w:lang w:val="en-US"/>
        </w:rPr>
        <w:t>Assistant Professor, Girijananda Chowdhury University, Guwahati, Assam (February 2026 -Present)</w:t>
      </w:r>
    </w:p>
    <w:p>
      <w:pPr>
        <w:pStyle w:val="Body"/>
        <w:numPr>
          <w:ilvl w:val="0"/>
          <w:numId w:val="2"/>
        </w:numPr>
        <w:spacing w:line="360" w:lineRule="auto"/>
        <w:ind w:right="302"/>
        <w:jc w:val="both"/>
        <w:rPr>
          <w:lang w:val="en-US"/>
        </w:rPr>
      </w:pPr>
      <w:r>
        <w:rPr>
          <w:rtl w:val="0"/>
          <w:lang w:val="en-US"/>
        </w:rPr>
        <w:t xml:space="preserve">Assistant </w:t>
      </w:r>
      <w:r>
        <w:rPr>
          <w:rtl w:val="0"/>
        </w:rPr>
        <w:t>Superintendent</w:t>
      </w:r>
      <w:r>
        <w:rPr>
          <w:rtl w:val="0"/>
          <w:lang w:val="en-US"/>
        </w:rPr>
        <w:t xml:space="preserve"> of </w:t>
      </w:r>
      <w:r>
        <w:rPr>
          <w:rtl w:val="0"/>
          <w:lang w:val="de-DE"/>
        </w:rPr>
        <w:t>Semester-End</w:t>
      </w:r>
      <w:r>
        <w:rPr>
          <w:rtl w:val="0"/>
          <w:lang w:val="en-US"/>
        </w:rPr>
        <w:t xml:space="preserve"> Examination, The Assam Royal Global University, Guwahati, Assam (December 2023-December 2025)</w:t>
      </w:r>
    </w:p>
    <w:p>
      <w:pPr>
        <w:pStyle w:val="Body"/>
        <w:numPr>
          <w:ilvl w:val="0"/>
          <w:numId w:val="2"/>
        </w:numPr>
        <w:spacing w:after="120" w:line="360" w:lineRule="auto"/>
        <w:ind w:right="302"/>
        <w:jc w:val="both"/>
        <w:rPr>
          <w:lang w:val="en-US"/>
        </w:rPr>
      </w:pPr>
      <w:r>
        <w:rPr>
          <w:rtl w:val="0"/>
          <w:lang w:val="en-US"/>
        </w:rPr>
        <w:t xml:space="preserve">Supervised 3 UG project </w:t>
      </w:r>
      <w:r>
        <w:rPr>
          <w:rtl w:val="0"/>
          <w:lang w:val="en-US"/>
        </w:rPr>
        <w:t>theses</w:t>
      </w:r>
    </w:p>
    <w:p>
      <w:pPr>
        <w:pStyle w:val="Body"/>
        <w:spacing w:line="360" w:lineRule="auto"/>
        <w:ind w:right="300"/>
        <w:rPr>
          <w:b w:val="1"/>
          <w:bCs w:val="1"/>
        </w:rPr>
      </w:pPr>
      <w:r>
        <w:rPr>
          <w:b w:val="1"/>
          <w:bCs w:val="1"/>
          <w:rtl w:val="0"/>
          <w:lang w:val="en-US"/>
        </w:rPr>
        <w:t>List of Publications:</w:t>
      </w:r>
    </w:p>
    <w:p>
      <w:pPr>
        <w:pStyle w:val="Default"/>
        <w:numPr>
          <w:ilvl w:val="0"/>
          <w:numId w:val="3"/>
        </w:numPr>
        <w:bidi w:val="0"/>
        <w:spacing w:before="0" w:line="360" w:lineRule="auto"/>
        <w:ind w:right="0"/>
        <w:jc w:val="both"/>
        <w:rPr>
          <w:rFonts w:ascii="Times New Roman" w:hAnsi="Times New Roman"/>
          <w:shd w:val="clear" w:color="auto" w:fill="ffffff"/>
          <w:rtl w:val="0"/>
          <w:lang w:val="nl-NL"/>
        </w:rPr>
      </w:pPr>
      <w:r>
        <w:rPr>
          <w:rFonts w:ascii="Times New Roman" w:hAnsi="Times New Roman"/>
          <w:shd w:val="clear" w:color="auto" w:fill="ffffff"/>
          <w:rtl w:val="0"/>
          <w:lang w:val="nl-NL"/>
        </w:rPr>
        <w:t xml:space="preserve">Nooreen Z, Wal A, Shukla A, Badarinath AV, Kumar N, </w:t>
      </w:r>
      <w:r>
        <w:rPr>
          <w:rFonts w:ascii="Times New Roman" w:hAnsi="Times New Roman"/>
          <w:b w:val="1"/>
          <w:bCs w:val="1"/>
          <w:shd w:val="clear" w:color="auto" w:fill="ffffff"/>
          <w:rtl w:val="0"/>
        </w:rPr>
        <w:t>Sarma T</w:t>
      </w:r>
      <w:r>
        <w:rPr>
          <w:rFonts w:ascii="Times New Roman" w:hAnsi="Times New Roman"/>
          <w:shd w:val="clear" w:color="auto" w:fill="ffffff"/>
          <w:rtl w:val="0"/>
          <w:lang w:val="en-US"/>
        </w:rPr>
        <w:t>, Khan A, Gasmi A. Emerging DNA-and RNA-based therapeutic strategies in hepatocellular carcinoma: A molecular approach to precision medicine. Letters in Drug Design &amp; Discovery. 2026 Jan 15:100268.</w:t>
      </w:r>
      <w:r>
        <w:rPr>
          <w:rFonts w:ascii="Times New Roman" w:hAnsi="Times New Roman"/>
          <w:shd w:val="clear" w:color="auto" w:fill="ffffff"/>
          <w:rtl w:val="0"/>
          <w:lang w:val="en-US"/>
        </w:rPr>
        <w:t xml:space="preserve">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"https://doi.org/10.1016/j.lddd.2025.100268"</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lang w:val="de-DE"/>
        </w:rPr>
        <w:t>https://doi.org/10.1016/j.lddd.2025.100268</w:t>
      </w:r>
      <w:r>
        <w:rPr>
          <w:rFonts w:ascii="Times New Roman" w:cs="Times New Roman" w:hAnsi="Times New Roman" w:eastAsia="Times New Roman"/>
          <w:shd w:val="clear" w:color="auto" w:fill="ffffff"/>
          <w:rtl w:val="0"/>
        </w:rPr>
        <w:fldChar w:fldCharType="end" w:fldLock="0"/>
      </w:r>
    </w:p>
    <w:p>
      <w:pPr>
        <w:pStyle w:val="Default"/>
        <w:numPr>
          <w:ilvl w:val="0"/>
          <w:numId w:val="3"/>
        </w:numPr>
        <w:bidi w:val="0"/>
        <w:spacing w:before="0" w:line="360" w:lineRule="auto"/>
        <w:ind w:right="0"/>
        <w:jc w:val="both"/>
        <w:rPr>
          <w:rFonts w:ascii="Times New Roman" w:hAnsi="Times New Roman"/>
          <w:shd w:val="clear" w:color="auto" w:fill="ffffff"/>
          <w:rtl w:val="0"/>
          <w:lang w:val="de-DE"/>
        </w:rPr>
      </w:pPr>
      <w:r>
        <w:rPr>
          <w:rFonts w:ascii="Times New Roman" w:hAnsi="Times New Roman"/>
          <w:shd w:val="clear" w:color="auto" w:fill="ffffff"/>
          <w:rtl w:val="0"/>
          <w:lang w:val="de-DE"/>
        </w:rPr>
        <w:t xml:space="preserve">Judder MI, Islam M, Kaur H, Rahman R, Deka K, Kapil MJ, Pathak BJ, </w:t>
      </w:r>
      <w:r>
        <w:rPr>
          <w:rFonts w:ascii="Times New Roman" w:hAnsi="Times New Roman"/>
          <w:b w:val="1"/>
          <w:bCs w:val="1"/>
          <w:shd w:val="clear" w:color="auto" w:fill="ffffff"/>
          <w:rtl w:val="0"/>
        </w:rPr>
        <w:t>Sarma T,</w:t>
      </w:r>
      <w:r>
        <w:rPr>
          <w:rFonts w:ascii="Times New Roman" w:hAnsi="Times New Roman"/>
          <w:shd w:val="clear" w:color="auto" w:fill="ffffff"/>
          <w:rtl w:val="0"/>
          <w:lang w:val="en-US"/>
        </w:rPr>
        <w:t xml:space="preserve"> Islam MM. Therapeutic Trends in Diabetes Management: A Review on Oral Hypoglycemic Agents (OHAs) Utilization in Tertiary Care. Cardiovascular &amp; Hematological Disorders-Drug Targets. 2025.</w:t>
      </w:r>
      <w:r>
        <w:rPr>
          <w:rFonts w:ascii="Times New Roman" w:hAnsi="Times New Roman"/>
          <w:shd w:val="clear" w:color="auto" w:fill="ffffff"/>
          <w:rtl w:val="0"/>
          <w:lang w:val="en-US"/>
        </w:rPr>
        <w:t xml:space="preserve">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"https://doi.org/10.2174/011871529x414055250924050309"</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rPr>
        <w:t>10.2174/011871529X414055250924050309</w:t>
      </w:r>
      <w:r>
        <w:rPr>
          <w:rFonts w:ascii="Times New Roman" w:cs="Times New Roman" w:hAnsi="Times New Roman" w:eastAsia="Times New Roman"/>
          <w:shd w:val="clear" w:color="auto" w:fill="ffffff"/>
          <w:rtl w:val="0"/>
        </w:rPr>
        <w:fldChar w:fldCharType="end" w:fldLock="0"/>
      </w:r>
    </w:p>
    <w:p>
      <w:pPr>
        <w:pStyle w:val="Default"/>
        <w:numPr>
          <w:ilvl w:val="0"/>
          <w:numId w:val="3"/>
        </w:numPr>
        <w:bidi w:val="0"/>
        <w:spacing w:before="0" w:line="360" w:lineRule="auto"/>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Chakraborty</w:t>
      </w:r>
      <w:r>
        <w:rPr>
          <w:rFonts w:ascii="Times New Roman" w:hAnsi="Times New Roman"/>
          <w:shd w:val="clear" w:color="auto" w:fill="ffffff"/>
          <w:rtl w:val="0"/>
          <w:lang w:val="en-US"/>
        </w:rPr>
        <w:t xml:space="preserve"> DD, </w:t>
      </w:r>
      <w:r>
        <w:rPr>
          <w:rFonts w:ascii="Times New Roman" w:hAnsi="Times New Roman"/>
          <w:shd w:val="clear" w:color="auto" w:fill="ffffff"/>
          <w:rtl w:val="0"/>
          <w:lang w:val="en-US"/>
        </w:rPr>
        <w:t>Chakraborty</w:t>
      </w:r>
      <w:r>
        <w:rPr>
          <w:rFonts w:ascii="Times New Roman" w:hAnsi="Times New Roman"/>
          <w:shd w:val="clear" w:color="auto" w:fill="ffffff"/>
          <w:rtl w:val="0"/>
          <w:lang w:val="en-US"/>
        </w:rPr>
        <w:t xml:space="preserve"> P, </w:t>
      </w:r>
      <w:r>
        <w:rPr>
          <w:rFonts w:ascii="Times New Roman" w:hAnsi="Times New Roman"/>
          <w:b w:val="1"/>
          <w:bCs w:val="1"/>
          <w:shd w:val="clear" w:color="auto" w:fill="ffffff"/>
          <w:rtl w:val="0"/>
          <w:lang w:val="en-US"/>
        </w:rPr>
        <w:t>Sarma T</w:t>
      </w:r>
      <w:r>
        <w:rPr>
          <w:rFonts w:ascii="Times New Roman" w:hAnsi="Times New Roman"/>
          <w:shd w:val="clear" w:color="auto" w:fill="ffffff"/>
          <w:rtl w:val="0"/>
          <w:lang w:val="en-US"/>
        </w:rPr>
        <w:t xml:space="preserve">, Hazarika N, Bania T, Rynjah M. </w:t>
      </w:r>
      <w:r>
        <w:rPr>
          <w:rFonts w:ascii="Times New Roman" w:hAnsi="Times New Roman"/>
          <w:shd w:val="clear" w:color="auto" w:fill="ffffff"/>
          <w:rtl w:val="0"/>
          <w:lang w:val="en-US"/>
        </w:rPr>
        <w:t>Bioactive Compounds Aimed at the AMPK Pathway: A Window into their Therapeutic Potential</w:t>
      </w:r>
      <w:r>
        <w:rPr>
          <w:rFonts w:ascii="Times New Roman" w:hAnsi="Times New Roman"/>
          <w:shd w:val="clear" w:color="auto" w:fill="ffffff"/>
          <w:rtl w:val="0"/>
          <w:lang w:val="en-US"/>
        </w:rPr>
        <w:t xml:space="preserve">. </w:t>
      </w:r>
      <w:r>
        <w:rPr>
          <w:rFonts w:ascii="Times New Roman" w:hAnsi="Times New Roman"/>
          <w:shd w:val="clear" w:color="auto" w:fill="ffffff"/>
          <w:rtl w:val="0"/>
        </w:rPr>
        <w:t>Curr.</w:t>
      </w:r>
      <w:r>
        <w:rPr>
          <w:rFonts w:ascii="Times New Roman" w:hAnsi="Times New Roman" w:hint="default"/>
          <w:shd w:val="clear" w:color="auto" w:fill="ffffff"/>
          <w:rtl w:val="0"/>
        </w:rPr>
        <w:t> </w:t>
      </w:r>
      <w:r>
        <w:rPr>
          <w:rFonts w:ascii="Times New Roman" w:hAnsi="Times New Roman"/>
          <w:shd w:val="clear" w:color="auto" w:fill="ffffff"/>
          <w:rtl w:val="0"/>
        </w:rPr>
        <w:t>Signal Transduct.</w:t>
      </w:r>
      <w:r>
        <w:rPr>
          <w:rFonts w:ascii="Times New Roman" w:hAnsi="Times New Roman" w:hint="default"/>
          <w:shd w:val="clear" w:color="auto" w:fill="ffffff"/>
          <w:rtl w:val="0"/>
        </w:rPr>
        <w:t> </w:t>
      </w:r>
      <w:r>
        <w:rPr>
          <w:rFonts w:ascii="Times New Roman" w:hAnsi="Times New Roman"/>
          <w:shd w:val="clear" w:color="auto" w:fill="ffffff"/>
          <w:rtl w:val="0"/>
        </w:rPr>
        <w:t>Ther.</w:t>
      </w:r>
      <w:r>
        <w:rPr>
          <w:rFonts w:ascii="Times New Roman" w:hAnsi="Times New Roman"/>
          <w:shd w:val="clear" w:color="auto" w:fill="ffffff"/>
          <w:rtl w:val="0"/>
          <w:lang w:val="en-US"/>
        </w:rPr>
        <w:t xml:space="preserve"> Nov 1, 2024.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"http://dx.doi.org/10.2174/0115743624331249241025024548"</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lang w:val="en-US"/>
        </w:rPr>
        <w:t>http://dx.doi.org/10.2174/0115743624331249241025024548</w:t>
      </w:r>
      <w:r>
        <w:rPr>
          <w:rFonts w:ascii="Times New Roman" w:cs="Times New Roman" w:hAnsi="Times New Roman" w:eastAsia="Times New Roman"/>
          <w:shd w:val="clear" w:color="auto" w:fill="ffffff"/>
          <w:rtl w:val="0"/>
        </w:rPr>
        <w:fldChar w:fldCharType="end" w:fldLock="0"/>
      </w:r>
      <w:r>
        <w:rPr>
          <w:rFonts w:ascii="Times New Roman" w:hAnsi="Times New Roman"/>
          <w:shd w:val="clear" w:color="auto" w:fill="ffffff"/>
          <w:rtl w:val="0"/>
          <w:lang w:val="en-US"/>
        </w:rPr>
        <w:t xml:space="preserve"> </w:t>
      </w:r>
    </w:p>
    <w:p>
      <w:pPr>
        <w:pStyle w:val="Default"/>
        <w:numPr>
          <w:ilvl w:val="0"/>
          <w:numId w:val="3"/>
        </w:numPr>
        <w:bidi w:val="0"/>
        <w:spacing w:before="0" w:line="360" w:lineRule="auto"/>
        <w:ind w:right="0"/>
        <w:jc w:val="both"/>
        <w:rPr>
          <w:rFonts w:ascii="Times New Roman" w:hAnsi="Times New Roman"/>
          <w:shd w:val="clear" w:color="auto" w:fill="ffffff"/>
          <w:rtl w:val="0"/>
        </w:rPr>
      </w:pPr>
      <w:r>
        <w:rPr>
          <w:rFonts w:ascii="Times New Roman" w:hAnsi="Times New Roman"/>
          <w:shd w:val="clear" w:color="auto" w:fill="ffffff"/>
          <w:rtl w:val="0"/>
        </w:rPr>
        <w:t xml:space="preserve">Shil D, </w:t>
      </w:r>
      <w:r>
        <w:rPr>
          <w:rFonts w:ascii="Times New Roman" w:hAnsi="Times New Roman"/>
          <w:b w:val="1"/>
          <w:bCs w:val="1"/>
          <w:shd w:val="clear" w:color="auto" w:fill="ffffff"/>
          <w:rtl w:val="0"/>
        </w:rPr>
        <w:t>Sarma T</w:t>
      </w:r>
      <w:r>
        <w:rPr>
          <w:rFonts w:ascii="Times New Roman" w:hAnsi="Times New Roman"/>
          <w:shd w:val="clear" w:color="auto" w:fill="ffffff"/>
          <w:rtl w:val="0"/>
          <w:lang w:val="en-US"/>
        </w:rPr>
        <w:t>, Roy SD, Chakraborty J, Das SR, Das T, Rohman TA. Exploring Quality Control Standards and Potential Antibacterial Property of Different Extracts of the Root of Physalis minima L. Int. J. Res. Pharm. Sci. 2021;12:2350-60.</w:t>
      </w:r>
      <w:r>
        <w:rPr>
          <w:rFonts w:ascii="Times New Roman" w:hAnsi="Times New Roman"/>
          <w:shd w:val="clear" w:color="auto" w:fill="ffffff"/>
          <w:rtl w:val="0"/>
          <w:lang w:val="en-US"/>
        </w:rPr>
        <w:t xml:space="preserve"> doi: </w:t>
      </w:r>
      <w:r>
        <w:rPr>
          <w:rFonts w:ascii="Times New Roman" w:hAnsi="Times New Roman"/>
          <w:u w:val="single"/>
          <w:shd w:val="clear" w:color="auto" w:fill="ffffff"/>
          <w:rtl w:val="0"/>
        </w:rPr>
        <w:t>10.26452/ijrps.v12i4.4868</w:t>
      </w:r>
    </w:p>
    <w:p>
      <w:pPr>
        <w:pStyle w:val="Default"/>
        <w:numPr>
          <w:ilvl w:val="0"/>
          <w:numId w:val="3"/>
        </w:numPr>
        <w:bidi w:val="0"/>
        <w:spacing w:before="0" w:line="360" w:lineRule="auto"/>
        <w:ind w:right="0"/>
        <w:jc w:val="both"/>
        <w:rPr>
          <w:rFonts w:ascii="Times New Roman" w:hAnsi="Times New Roman"/>
          <w:shd w:val="clear" w:color="auto" w:fill="ffffff"/>
          <w:rtl w:val="0"/>
        </w:rPr>
      </w:pPr>
      <w:r>
        <w:rPr>
          <w:rFonts w:ascii="Times New Roman" w:hAnsi="Times New Roman"/>
          <w:shd w:val="clear" w:color="auto" w:fill="ffffff"/>
          <w:rtl w:val="0"/>
        </w:rPr>
        <w:t>Bharali</w:t>
      </w:r>
      <w:r>
        <w:rPr>
          <w:rFonts w:ascii="Times New Roman" w:hAnsi="Times New Roman"/>
          <w:shd w:val="clear" w:color="auto" w:fill="ffffff"/>
          <w:rtl w:val="0"/>
          <w:lang w:val="en-US"/>
        </w:rPr>
        <w:t xml:space="preserve"> A*, </w:t>
      </w:r>
      <w:r>
        <w:rPr>
          <w:rFonts w:ascii="Times New Roman" w:hAnsi="Times New Roman"/>
          <w:shd w:val="clear" w:color="auto" w:fill="ffffff"/>
          <w:rtl w:val="0"/>
        </w:rPr>
        <w:t>Deka</w:t>
      </w:r>
      <w:r>
        <w:rPr>
          <w:rFonts w:ascii="Times New Roman" w:hAnsi="Times New Roman"/>
          <w:shd w:val="clear" w:color="auto" w:fill="ffffff"/>
          <w:rtl w:val="0"/>
          <w:lang w:val="en-US"/>
        </w:rPr>
        <w:t xml:space="preserve"> B, </w:t>
      </w:r>
      <w:r>
        <w:rPr>
          <w:rFonts w:ascii="Times New Roman" w:hAnsi="Times New Roman"/>
          <w:shd w:val="clear" w:color="auto" w:fill="ffffff"/>
          <w:rtl w:val="0"/>
        </w:rPr>
        <w:t>Sarma</w:t>
      </w:r>
      <w:r>
        <w:rPr>
          <w:rFonts w:ascii="Times New Roman" w:hAnsi="Times New Roman"/>
          <w:shd w:val="clear" w:color="auto" w:fill="ffffff"/>
          <w:rtl w:val="0"/>
          <w:lang w:val="en-US"/>
        </w:rPr>
        <w:t xml:space="preserve"> H, </w:t>
      </w:r>
      <w:r>
        <w:rPr>
          <w:rFonts w:ascii="Times New Roman" w:hAnsi="Times New Roman"/>
          <w:shd w:val="clear" w:color="auto" w:fill="ffffff"/>
          <w:rtl w:val="0"/>
        </w:rPr>
        <w:t>Sarma</w:t>
      </w:r>
      <w:r>
        <w:rPr>
          <w:rFonts w:ascii="Times New Roman" w:hAnsi="Times New Roman"/>
          <w:shd w:val="clear" w:color="auto" w:fill="ffffff"/>
          <w:rtl w:val="0"/>
          <w:lang w:val="en-US"/>
        </w:rPr>
        <w:t xml:space="preserve"> S, </w:t>
      </w:r>
      <w:r>
        <w:rPr>
          <w:rFonts w:ascii="Times New Roman" w:hAnsi="Times New Roman"/>
          <w:shd w:val="clear" w:color="auto" w:fill="ffffff"/>
          <w:rtl w:val="0"/>
        </w:rPr>
        <w:t>Ahmed</w:t>
      </w:r>
      <w:r>
        <w:rPr>
          <w:rFonts w:ascii="Times New Roman" w:hAnsi="Times New Roman"/>
          <w:shd w:val="clear" w:color="auto" w:fill="ffffff"/>
          <w:rtl w:val="0"/>
          <w:lang w:val="en-US"/>
        </w:rPr>
        <w:t xml:space="preserve"> A, </w:t>
      </w:r>
      <w:r>
        <w:rPr>
          <w:rFonts w:ascii="Times New Roman" w:hAnsi="Times New Roman"/>
          <w:shd w:val="clear" w:color="auto" w:fill="ffffff"/>
          <w:rtl w:val="0"/>
        </w:rPr>
        <w:t>Bhattacharjee</w:t>
      </w:r>
      <w:r>
        <w:rPr>
          <w:rFonts w:ascii="Times New Roman" w:hAnsi="Times New Roman"/>
          <w:shd w:val="clear" w:color="auto" w:fill="ffffff"/>
          <w:rtl w:val="0"/>
          <w:lang w:val="en-US"/>
        </w:rPr>
        <w:t xml:space="preserve"> B, </w:t>
      </w:r>
      <w:r>
        <w:rPr>
          <w:rFonts w:ascii="Times New Roman" w:hAnsi="Times New Roman"/>
          <w:shd w:val="clear" w:color="auto" w:fill="ffffff"/>
          <w:rtl w:val="0"/>
          <w:lang w:val="de-DE"/>
        </w:rPr>
        <w:t>Das</w:t>
      </w:r>
      <w:r>
        <w:rPr>
          <w:rFonts w:ascii="Times New Roman" w:hAnsi="Times New Roman"/>
          <w:shd w:val="clear" w:color="auto" w:fill="ffffff"/>
          <w:rtl w:val="0"/>
          <w:lang w:val="en-US"/>
        </w:rPr>
        <w:t xml:space="preserve"> G, </w:t>
      </w:r>
      <w:r>
        <w:rPr>
          <w:rFonts w:ascii="Times New Roman" w:hAnsi="Times New Roman"/>
          <w:shd w:val="clear" w:color="auto" w:fill="ffffff"/>
          <w:rtl w:val="0"/>
          <w:lang w:val="de-DE"/>
        </w:rPr>
        <w:t>Das</w:t>
      </w:r>
      <w:r>
        <w:rPr>
          <w:rFonts w:ascii="Times New Roman" w:hAnsi="Times New Roman"/>
          <w:shd w:val="clear" w:color="auto" w:fill="ffffff"/>
          <w:rtl w:val="0"/>
          <w:lang w:val="en-US"/>
        </w:rPr>
        <w:t xml:space="preserve"> B, </w:t>
      </w:r>
      <w:r>
        <w:rPr>
          <w:rFonts w:ascii="Times New Roman" w:hAnsi="Times New Roman"/>
          <w:shd w:val="clear" w:color="auto" w:fill="ffffff"/>
          <w:rtl w:val="0"/>
        </w:rPr>
        <w:t>Upadhyaya</w:t>
      </w:r>
      <w:r>
        <w:rPr>
          <w:rFonts w:ascii="Times New Roman" w:hAnsi="Times New Roman"/>
          <w:shd w:val="clear" w:color="auto" w:fill="ffffff"/>
          <w:rtl w:val="0"/>
          <w:lang w:val="en-US"/>
        </w:rPr>
        <w:t xml:space="preserve"> M, </w:t>
      </w:r>
      <w:r>
        <w:rPr>
          <w:rFonts w:ascii="Times New Roman" w:hAnsi="Times New Roman"/>
          <w:shd w:val="clear" w:color="auto" w:fill="ffffff"/>
          <w:rtl w:val="0"/>
        </w:rPr>
        <w:t>Phukan</w:t>
      </w:r>
      <w:r>
        <w:rPr>
          <w:rFonts w:ascii="Times New Roman" w:hAnsi="Times New Roman"/>
          <w:shd w:val="clear" w:color="auto" w:fill="ffffff"/>
          <w:rtl w:val="0"/>
          <w:lang w:val="en-US"/>
        </w:rPr>
        <w:t xml:space="preserve"> M, K</w:t>
      </w:r>
      <w:r>
        <w:rPr>
          <w:rFonts w:ascii="Times New Roman" w:hAnsi="Times New Roman"/>
          <w:shd w:val="clear" w:color="auto" w:fill="ffffff"/>
          <w:rtl w:val="0"/>
        </w:rPr>
        <w:t>alita</w:t>
      </w:r>
      <w:r>
        <w:rPr>
          <w:rFonts w:ascii="Times New Roman" w:hAnsi="Times New Roman"/>
          <w:shd w:val="clear" w:color="auto" w:fill="ffffff"/>
          <w:rtl w:val="0"/>
          <w:lang w:val="en-US"/>
        </w:rPr>
        <w:t xml:space="preserve"> K, </w:t>
      </w:r>
      <w:r>
        <w:rPr>
          <w:rFonts w:ascii="Times New Roman" w:hAnsi="Times New Roman"/>
          <w:shd w:val="clear" w:color="auto" w:fill="ffffff"/>
          <w:rtl w:val="0"/>
          <w:lang w:val="en-US"/>
        </w:rPr>
        <w:t>Gogoi</w:t>
      </w:r>
      <w:r>
        <w:rPr>
          <w:rFonts w:ascii="Times New Roman" w:hAnsi="Times New Roman"/>
          <w:shd w:val="clear" w:color="auto" w:fill="ffffff"/>
          <w:rtl w:val="0"/>
          <w:lang w:val="en-US"/>
        </w:rPr>
        <w:t xml:space="preserve"> B, </w:t>
      </w:r>
      <w:r>
        <w:rPr>
          <w:rFonts w:ascii="Times New Roman" w:hAnsi="Times New Roman"/>
          <w:b w:val="1"/>
          <w:bCs w:val="1"/>
          <w:shd w:val="clear" w:color="auto" w:fill="ffffff"/>
          <w:rtl w:val="0"/>
        </w:rPr>
        <w:t>Sarma</w:t>
      </w:r>
      <w:r>
        <w:rPr>
          <w:rFonts w:ascii="Times New Roman" w:hAnsi="Times New Roman"/>
          <w:b w:val="1"/>
          <w:bCs w:val="1"/>
          <w:shd w:val="clear" w:color="auto" w:fill="ffffff"/>
          <w:rtl w:val="0"/>
          <w:lang w:val="en-US"/>
        </w:rPr>
        <w:t xml:space="preserve"> T</w:t>
      </w:r>
      <w:r>
        <w:rPr>
          <w:rFonts w:ascii="Times New Roman" w:hAnsi="Times New Roman"/>
          <w:shd w:val="clear" w:color="auto" w:fill="ffffff"/>
          <w:rtl w:val="0"/>
          <w:lang w:val="en-US"/>
        </w:rPr>
        <w:t xml:space="preserve">, </w:t>
      </w:r>
      <w:r>
        <w:rPr>
          <w:rFonts w:ascii="Times New Roman" w:hAnsi="Times New Roman" w:hint="default"/>
          <w:shd w:val="clear" w:color="auto" w:fill="ffffff"/>
          <w:rtl w:val="0"/>
          <w:lang w:val="en-US"/>
        </w:rPr>
        <w:t>“</w:t>
      </w:r>
      <w:r>
        <w:rPr>
          <w:rFonts w:ascii="Times New Roman" w:hAnsi="Times New Roman"/>
          <w:shd w:val="clear" w:color="auto" w:fill="ffffff"/>
          <w:rtl w:val="0"/>
          <w:lang w:val="en-US"/>
        </w:rPr>
        <w:t>Integrating Recommendations to Improve Treatment Outcomes in the Clinical Management of Allergic Conjunctivitis</w:t>
      </w:r>
      <w:r>
        <w:rPr>
          <w:rFonts w:ascii="Times New Roman" w:hAnsi="Times New Roman" w:hint="default"/>
          <w:shd w:val="clear" w:color="auto" w:fill="ffffff"/>
          <w:rtl w:val="0"/>
          <w:lang w:val="en-US"/>
        </w:rPr>
        <w:t>”</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Pharmaceutical and Biosciences Journal</w:t>
      </w:r>
      <w:r>
        <w:rPr>
          <w:rFonts w:ascii="Times New Roman" w:hAnsi="Times New Roman"/>
          <w:shd w:val="clear" w:color="auto" w:fill="ffffff"/>
          <w:rtl w:val="0"/>
          <w:lang w:val="en-US"/>
        </w:rPr>
        <w:t xml:space="preserve">, </w:t>
      </w:r>
      <w:r>
        <w:rPr>
          <w:rFonts w:ascii="Times New Roman" w:hAnsi="Times New Roman"/>
          <w:shd w:val="clear" w:color="auto" w:fill="ffffff"/>
          <w:rtl w:val="0"/>
        </w:rPr>
        <w:t>9(3),</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2021</w:t>
      </w:r>
      <w:r>
        <w:rPr>
          <w:rFonts w:ascii="Times New Roman" w:hAnsi="Times New Roman"/>
          <w:shd w:val="clear" w:color="auto" w:fill="ffffff"/>
          <w:rtl w:val="0"/>
          <w:lang w:val="en-US"/>
        </w:rPr>
        <w:t>,</w:t>
      </w:r>
      <w:r>
        <w:rPr>
          <w:rFonts w:ascii="Times New Roman" w:hAnsi="Times New Roman"/>
          <w:shd w:val="clear" w:color="auto" w:fill="ffffff"/>
          <w:rtl w:val="0"/>
        </w:rPr>
        <w:t xml:space="preserve"> </w:t>
      </w:r>
      <w:r>
        <w:rPr>
          <w:rFonts w:ascii="Times New Roman" w:hAnsi="Times New Roman"/>
          <w:shd w:val="clear" w:color="auto" w:fill="ffffff"/>
          <w:rtl w:val="0"/>
          <w:lang w:val="en-US"/>
        </w:rPr>
        <w:t xml:space="preserve">pp </w:t>
      </w:r>
      <w:r>
        <w:rPr>
          <w:rFonts w:ascii="Times New Roman" w:hAnsi="Times New Roman"/>
          <w:shd w:val="clear" w:color="auto" w:fill="ffffff"/>
          <w:rtl w:val="0"/>
        </w:rPr>
        <w:t>22-40</w:t>
      </w:r>
      <w:r>
        <w:rPr>
          <w:rFonts w:ascii="Times New Roman" w:hAnsi="Times New Roman"/>
          <w:shd w:val="clear" w:color="auto" w:fill="ffffff"/>
          <w:rtl w:val="0"/>
          <w:lang w:val="en-US"/>
        </w:rPr>
        <w:t xml:space="preserve">.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"https://doi.org/10.20510/pbj/9/i3/1364"</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lang w:val="en-US"/>
        </w:rPr>
        <w:t>https://doi.org/10.20510/pbj/9/i3/1364</w:t>
      </w:r>
      <w:r>
        <w:rPr>
          <w:rFonts w:ascii="Times New Roman" w:cs="Times New Roman" w:hAnsi="Times New Roman" w:eastAsia="Times New Roman"/>
          <w:shd w:val="clear" w:color="auto" w:fill="ffffff"/>
          <w:rtl w:val="0"/>
        </w:rPr>
        <w:fldChar w:fldCharType="end" w:fldLock="0"/>
      </w:r>
    </w:p>
    <w:p>
      <w:pPr>
        <w:pStyle w:val="Default"/>
        <w:numPr>
          <w:ilvl w:val="0"/>
          <w:numId w:val="3"/>
        </w:numPr>
        <w:bidi w:val="0"/>
        <w:spacing w:before="0" w:line="360" w:lineRule="auto"/>
        <w:ind w:right="0"/>
        <w:jc w:val="both"/>
        <w:rPr>
          <w:rFonts w:ascii="Times New Roman" w:hAnsi="Times New Roman"/>
          <w:shd w:val="clear" w:color="auto" w:fill="ffffff"/>
          <w:rtl w:val="0"/>
          <w:lang w:val="de-DE"/>
        </w:rPr>
      </w:pPr>
      <w:r>
        <w:rPr>
          <w:rFonts w:ascii="Times New Roman" w:hAnsi="Times New Roman"/>
          <w:shd w:val="clear" w:color="auto" w:fill="ffffff"/>
          <w:rtl w:val="0"/>
          <w:lang w:val="de-DE"/>
        </w:rPr>
        <w:t>Bhargab BD, Dash B, Newar A, Ahmed A, Bharali A, Bordoloi B, Rohman TA, Bingari B,</w:t>
      </w:r>
      <w:r>
        <w:rPr>
          <w:rFonts w:ascii="Times New Roman" w:hAnsi="Times New Roman"/>
          <w:shd w:val="clear" w:color="auto" w:fill="ffffff"/>
          <w:rtl w:val="0"/>
          <w:lang w:val="en-US"/>
        </w:rPr>
        <w:t xml:space="preserve"> </w:t>
      </w:r>
      <w:r>
        <w:rPr>
          <w:rFonts w:ascii="Times New Roman" w:hAnsi="Times New Roman"/>
          <w:shd w:val="clear" w:color="auto" w:fill="ffffff"/>
          <w:rtl w:val="0"/>
        </w:rPr>
        <w:t>Bhattacharjee B, Sadhukan P, Ikbal AM</w:t>
      </w:r>
      <w:r>
        <w:rPr>
          <w:rFonts w:ascii="Times New Roman" w:hAnsi="Times New Roman"/>
          <w:shd w:val="clear" w:color="auto" w:fill="ffffff"/>
          <w:rtl w:val="0"/>
          <w:lang w:val="en-US"/>
        </w:rPr>
        <w:t xml:space="preserve">, </w:t>
      </w:r>
      <w:r>
        <w:rPr>
          <w:rFonts w:ascii="Times New Roman" w:hAnsi="Times New Roman"/>
          <w:b w:val="1"/>
          <w:bCs w:val="1"/>
          <w:shd w:val="clear" w:color="auto" w:fill="ffffff"/>
          <w:rtl w:val="0"/>
          <w:lang w:val="en-US"/>
        </w:rPr>
        <w:t>Sarma T</w:t>
      </w:r>
      <w:r>
        <w:rPr>
          <w:rFonts w:ascii="Times New Roman" w:hAnsi="Times New Roman"/>
          <w:shd w:val="clear" w:color="auto" w:fill="ffffff"/>
          <w:rtl w:val="0"/>
          <w:lang w:val="en-US"/>
        </w:rPr>
        <w:t>. Coronavirus disease 2019: A comprehensive review on recent clinical updates and management tools for pharmacists. Pharmaceutical and Biosciences Journal. 2021 May 9:01-21.</w:t>
      </w:r>
      <w:r>
        <w:rPr>
          <w:rFonts w:ascii="Times New Roman" w:hAnsi="Times New Roman"/>
          <w:shd w:val="clear" w:color="auto" w:fill="ffffff"/>
          <w:rtl w:val="0"/>
          <w:lang w:val="en-US"/>
        </w:rPr>
        <w:t xml:space="preserve">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"https://doi.org/10.20510/pbj/9/i3/1363"</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lang w:val="en-US"/>
        </w:rPr>
        <w:t>https://doi.org/10.20510/pbj/9/i3/1363</w:t>
      </w:r>
      <w:r>
        <w:rPr>
          <w:rFonts w:ascii="Times New Roman" w:cs="Times New Roman" w:hAnsi="Times New Roman" w:eastAsia="Times New Roman"/>
          <w:shd w:val="clear" w:color="auto" w:fill="ffffff"/>
          <w:rtl w:val="0"/>
        </w:rPr>
        <w:fldChar w:fldCharType="end" w:fldLock="0"/>
      </w:r>
    </w:p>
    <w:p>
      <w:pPr>
        <w:pStyle w:val="Body"/>
        <w:spacing w:line="360" w:lineRule="auto"/>
        <w:jc w:val="both"/>
      </w:pPr>
    </w:p>
    <w:p>
      <w:pPr>
        <w:pStyle w:val="Body"/>
        <w:spacing w:line="360" w:lineRule="auto"/>
        <w:jc w:val="both"/>
        <w:rPr>
          <w:b w:val="1"/>
          <w:bCs w:val="1"/>
        </w:rPr>
      </w:pPr>
      <w:r>
        <w:rPr>
          <w:b w:val="1"/>
          <w:bCs w:val="1"/>
          <w:rtl w:val="0"/>
          <w:lang w:val="en-US"/>
        </w:rPr>
        <w:t>Book Chapter:</w:t>
      </w:r>
    </w:p>
    <w:p>
      <w:pPr>
        <w:pStyle w:val="Default"/>
        <w:numPr>
          <w:ilvl w:val="0"/>
          <w:numId w:val="4"/>
        </w:numPr>
        <w:bidi w:val="0"/>
        <w:spacing w:before="0" w:line="360" w:lineRule="auto"/>
        <w:ind w:right="0"/>
        <w:jc w:val="both"/>
        <w:rPr>
          <w:rFonts w:ascii="Times New Roman" w:hAnsi="Times New Roman"/>
          <w:shd w:val="clear" w:color="auto" w:fill="ffffff"/>
          <w:rtl w:val="0"/>
        </w:rPr>
      </w:pPr>
      <w:r>
        <w:rPr>
          <w:rFonts w:ascii="Times New Roman" w:hAnsi="Times New Roman"/>
          <w:b w:val="1"/>
          <w:bCs w:val="1"/>
          <w:shd w:val="clear" w:color="auto" w:fill="ffffff"/>
          <w:rtl w:val="0"/>
        </w:rPr>
        <w:t>Sarma T</w:t>
      </w:r>
      <w:r>
        <w:rPr>
          <w:rFonts w:ascii="Times New Roman" w:hAnsi="Times New Roman"/>
          <w:shd w:val="clear" w:color="auto" w:fill="ffffff"/>
          <w:rtl w:val="0"/>
          <w:lang w:val="de-DE"/>
        </w:rPr>
        <w:t>, Das T, Saha D, Das SR, Mishra SB, Singh AK, Chanda I. Overview</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of Functional Foods and Their Impact On Osteoporosis. In</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Applications of Functional Foods in Disease Prevention</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2024 Jan 9 (pp. 293-324). Apple Academic Press.</w:t>
      </w:r>
      <w:r>
        <w:rPr>
          <w:rFonts w:ascii="Times New Roman" w:hAnsi="Times New Roman"/>
          <w:shd w:val="clear" w:color="auto" w:fill="ffffff"/>
          <w:rtl w:val="0"/>
          <w:lang w:val="en-US"/>
        </w:rPr>
        <w:t xml:space="preserve"> </w:t>
      </w:r>
      <w:r>
        <w:rPr>
          <w:rStyle w:val="Hyperlink.1"/>
          <w:rFonts w:ascii="Times New Roman" w:cs="Times New Roman" w:hAnsi="Times New Roman" w:eastAsia="Times New Roman"/>
          <w:shd w:val="clear" w:color="auto" w:fill="ffffff"/>
          <w:rtl w:val="0"/>
        </w:rPr>
        <w:fldChar w:fldCharType="begin" w:fldLock="0"/>
      </w:r>
      <w:r>
        <w:rPr>
          <w:rStyle w:val="Hyperlink.1"/>
          <w:rFonts w:ascii="Times New Roman" w:cs="Times New Roman" w:hAnsi="Times New Roman" w:eastAsia="Times New Roman"/>
          <w:shd w:val="clear" w:color="auto" w:fill="ffffff"/>
          <w:rtl w:val="0"/>
        </w:rPr>
        <w:instrText xml:space="preserve"> HYPERLINK "https://doi.org/10.1201/9781003395737"</w:instrText>
      </w:r>
      <w:r>
        <w:rPr>
          <w:rStyle w:val="Hyperlink.1"/>
          <w:rFonts w:ascii="Times New Roman" w:cs="Times New Roman" w:hAnsi="Times New Roman" w:eastAsia="Times New Roman"/>
          <w:shd w:val="clear" w:color="auto" w:fill="ffffff"/>
          <w:rtl w:val="0"/>
        </w:rPr>
        <w:fldChar w:fldCharType="separate" w:fldLock="0"/>
      </w:r>
      <w:r>
        <w:rPr>
          <w:rStyle w:val="Hyperlink.1"/>
          <w:rFonts w:ascii="Times New Roman" w:hAnsi="Times New Roman"/>
          <w:shd w:val="clear" w:color="auto" w:fill="ffffff"/>
          <w:rtl w:val="0"/>
          <w:lang w:val="en-US"/>
        </w:rPr>
        <w:t>https://doi.org/10.1201/9781003395737</w:t>
      </w:r>
      <w:r>
        <w:rPr>
          <w:rFonts w:ascii="Times New Roman" w:cs="Times New Roman" w:hAnsi="Times New Roman" w:eastAsia="Times New Roman"/>
          <w:shd w:val="clear" w:color="auto" w:fill="ffffff"/>
          <w:rtl w:val="0"/>
        </w:rPr>
        <w:fldChar w:fldCharType="end" w:fldLock="0"/>
      </w:r>
    </w:p>
    <w:p>
      <w:pPr>
        <w:pStyle w:val="Default"/>
        <w:bidi w:val="0"/>
        <w:spacing w:before="0" w:line="312" w:lineRule="auto"/>
        <w:ind w:left="0" w:right="0" w:firstLine="0"/>
        <w:jc w:val="both"/>
        <w:rPr>
          <w:rFonts w:ascii="Cambria" w:cs="Cambria" w:hAnsi="Cambria" w:eastAsia="Cambria"/>
          <w:sz w:val="20"/>
          <w:szCs w:val="20"/>
          <w:shd w:val="clear" w:color="auto" w:fill="ffffff"/>
          <w:rtl w:val="0"/>
        </w:rPr>
      </w:pPr>
    </w:p>
    <w:p>
      <w:pPr>
        <w:pStyle w:val="Default"/>
        <w:bidi w:val="0"/>
        <w:spacing w:before="0" w:line="312" w:lineRule="auto"/>
        <w:ind w:left="0" w:right="0" w:firstLine="0"/>
        <w:jc w:val="both"/>
        <w:rPr>
          <w:rFonts w:ascii="Cambria" w:cs="Cambria" w:hAnsi="Cambria" w:eastAsia="Cambria"/>
          <w:sz w:val="20"/>
          <w:szCs w:val="20"/>
          <w:shd w:val="clear" w:color="auto" w:fill="ffffff"/>
          <w:rtl w:val="0"/>
        </w:rPr>
      </w:pPr>
    </w:p>
    <w:p>
      <w:pPr>
        <w:pStyle w:val="Body"/>
        <w:spacing w:line="360" w:lineRule="auto"/>
        <w:jc w:val="both"/>
        <w:rPr>
          <w:b w:val="1"/>
          <w:bCs w:val="1"/>
        </w:rPr>
      </w:pPr>
      <w:r>
        <w:rPr>
          <w:b w:val="1"/>
          <w:bCs w:val="1"/>
          <w:rtl w:val="0"/>
          <w:lang w:val="en-US"/>
        </w:rPr>
        <w:t>Research Experience:</w:t>
      </w:r>
    </w:p>
    <w:p>
      <w:pPr>
        <w:pStyle w:val="List Paragraph"/>
        <w:numPr>
          <w:ilvl w:val="0"/>
          <w:numId w:val="6"/>
        </w:numPr>
        <w:bidi w:val="0"/>
        <w:spacing w:after="0"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Doctoral thesis guided:</w:t>
      </w:r>
      <w:r>
        <w:rPr>
          <w:rFonts w:ascii="Times New Roman" w:hAnsi="Times New Roman"/>
          <w:sz w:val="24"/>
          <w:szCs w:val="24"/>
          <w:rtl w:val="0"/>
          <w:lang w:val="en-US"/>
        </w:rPr>
        <w:t xml:space="preserve"> N/A</w:t>
      </w:r>
    </w:p>
    <w:p>
      <w:pPr>
        <w:pStyle w:val="List Paragraph"/>
        <w:numPr>
          <w:ilvl w:val="0"/>
          <w:numId w:val="6"/>
        </w:numPr>
        <w:bidi w:val="0"/>
        <w:spacing w:after="0" w:line="360" w:lineRule="auto"/>
        <w:ind w:right="0"/>
        <w:jc w:val="both"/>
        <w:rPr>
          <w:rFonts w:ascii="Times New Roman" w:hAnsi="Times New Roman"/>
          <w:sz w:val="24"/>
          <w:szCs w:val="24"/>
          <w:rtl w:val="0"/>
          <w:lang w:val="en-US"/>
        </w:rPr>
      </w:pPr>
      <w:r>
        <w:rPr>
          <w:rFonts w:ascii="Times New Roman" w:hAnsi="Times New Roman"/>
          <w:sz w:val="24"/>
          <w:szCs w:val="24"/>
          <w:rtl w:val="0"/>
          <w:lang w:val="en-US"/>
        </w:rPr>
        <w:t>Research &amp; Consultancy Projects:</w:t>
      </w:r>
      <w:r>
        <w:rPr>
          <w:rFonts w:ascii="Times New Roman" w:hAnsi="Times New Roman"/>
          <w:sz w:val="24"/>
          <w:szCs w:val="24"/>
          <w:rtl w:val="0"/>
          <w:lang w:val="en-US"/>
        </w:rPr>
        <w:t xml:space="preserve"> NIL</w:t>
      </w:r>
    </w:p>
    <w:p>
      <w:pPr>
        <w:pStyle w:val="Body"/>
        <w:spacing w:line="360" w:lineRule="auto"/>
        <w:ind w:right="300"/>
        <w:jc w:val="both"/>
      </w:pPr>
      <w:r>
        <w:rPr>
          <w:b w:val="1"/>
          <w:bCs w:val="1"/>
          <w:rtl w:val="0"/>
          <w:lang w:val="en-US"/>
        </w:rPr>
        <w:t>Membership of Professional bodies:</w:t>
      </w:r>
      <w:r>
        <w:rPr>
          <w:rtl w:val="0"/>
          <w:lang w:val="en-US"/>
        </w:rPr>
        <w:t xml:space="preserve"> NIL</w:t>
      </w:r>
    </w:p>
    <w:p>
      <w:pPr>
        <w:pStyle w:val="Body"/>
        <w:spacing w:line="360" w:lineRule="auto"/>
        <w:jc w:val="both"/>
      </w:pPr>
      <w:r>
        <w:rPr>
          <w:b w:val="1"/>
          <w:bCs w:val="1"/>
          <w:rtl w:val="0"/>
          <w:lang w:val="en-US"/>
        </w:rPr>
        <w:t>Award, Fellowship &amp; Recognition:</w:t>
      </w:r>
      <w:r>
        <w:rPr>
          <w:b w:val="1"/>
          <w:bCs w:val="1"/>
          <w:rtl w:val="0"/>
          <w:lang w:val="en-US"/>
        </w:rPr>
        <w:t xml:space="preserve"> </w:t>
      </w:r>
      <w:r>
        <w:rPr>
          <w:rtl w:val="0"/>
          <w:lang w:val="en-US"/>
        </w:rPr>
        <w:t>NIL</w:t>
      </w:r>
    </w:p>
    <w:p>
      <w:pPr>
        <w:pStyle w:val="Body"/>
        <w:spacing w:line="360" w:lineRule="auto"/>
        <w:ind w:left="720" w:right="302" w:firstLine="0"/>
        <w:jc w:val="both"/>
      </w:pPr>
      <w:r>
        <w:rPr>
          <w:rtl w:val="0"/>
          <w:lang w:val="en-US"/>
        </w:rPr>
        <w:t xml:space="preserve">                                                                                                             </w:t>
      </w:r>
      <w:r>
        <w:drawing xmlns:a="http://schemas.openxmlformats.org/drawingml/2006/main">
          <wp:inline distT="0" distB="0" distL="0" distR="0">
            <wp:extent cx="1082246" cy="538621"/>
            <wp:effectExtent l="0" t="0" r="0" b="0"/>
            <wp:docPr id="1073741825" name="officeArt object" descr="Sign.jpg"/>
            <wp:cNvGraphicFramePr/>
            <a:graphic xmlns:a="http://schemas.openxmlformats.org/drawingml/2006/main">
              <a:graphicData uri="http://schemas.openxmlformats.org/drawingml/2006/picture">
                <pic:pic xmlns:pic="http://schemas.openxmlformats.org/drawingml/2006/picture">
                  <pic:nvPicPr>
                    <pic:cNvPr id="1073741825" name="Sign.jpg" descr="Sign.jpg"/>
                    <pic:cNvPicPr>
                      <a:picLocks noChangeAspect="1"/>
                    </pic:cNvPicPr>
                  </pic:nvPicPr>
                  <pic:blipFill>
                    <a:blip r:embed="rId4">
                      <a:extLst/>
                    </a:blip>
                    <a:srcRect l="11491" t="16145" r="18511" b="16145"/>
                    <a:stretch>
                      <a:fillRect/>
                    </a:stretch>
                  </pic:blipFill>
                  <pic:spPr>
                    <a:xfrm>
                      <a:off x="0" y="0"/>
                      <a:ext cx="1082246" cy="538621"/>
                    </a:xfrm>
                    <a:prstGeom prst="rect">
                      <a:avLst/>
                    </a:prstGeom>
                    <a:ln w="12700" cap="flat">
                      <a:noFill/>
                      <a:miter lim="400000"/>
                    </a:ln>
                    <a:effectLst/>
                  </pic:spPr>
                </pic:pic>
              </a:graphicData>
            </a:graphic>
          </wp:inline>
        </w:drawing>
      </w:r>
    </w:p>
    <w:p>
      <w:pPr>
        <w:pStyle w:val="Body"/>
        <w:spacing w:line="360" w:lineRule="auto"/>
      </w:pPr>
      <w:r>
        <w:rPr>
          <w:rtl w:val="0"/>
          <w:lang w:val="de-DE"/>
        </w:rPr>
        <w:t>Date:</w:t>
      </w:r>
      <w:r>
        <w:rPr>
          <w:rtl w:val="0"/>
          <w:lang w:val="en-US"/>
        </w:rPr>
        <w:t xml:space="preserve"> 10/02/2026</w:t>
      </w:r>
      <w:r>
        <w:rPr>
          <w:rtl w:val="0"/>
        </w:rPr>
        <w:t xml:space="preserve">                                                                                               </w:t>
      </w:r>
      <w:r>
        <w:rPr>
          <w:rtl w:val="0"/>
          <w:lang w:val="en-US"/>
        </w:rPr>
        <w:t>Tanmay Sarma</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center"/>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6980a0"/>
      <w:u w:val="single" w:color="6980a0"/>
      <w14:textFill>
        <w14:solidFill>
          <w14:srgbClr w14:val="6980A0"/>
        </w14:solidFill>
      </w14:textFill>
    </w:rPr>
  </w:style>
  <w:style w:type="character" w:styleId="Hyperlink.0">
    <w:name w:val="Hyperlink.0"/>
    <w:basedOn w:val="Link"/>
    <w:next w:val="Hyperlink.0"/>
    <w:rPr>
      <w:outline w:val="0"/>
      <w:color w:val="000000"/>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 w:type="character" w:styleId="Hyperlink.1">
    <w:name w:val="Hyperlink.1"/>
    <w:basedOn w:val="Link"/>
    <w:next w:val="Hyperlink.1"/>
    <w:rPr>
      <w:outline w:val="0"/>
      <w:color w:val="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