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D15FF43" w:rsidR="00525270" w:rsidRPr="001D1CDC" w:rsidRDefault="001D1CD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b/>
          <w:color w:val="000000"/>
          <w:u w:val="single"/>
        </w:rPr>
      </w:pPr>
      <w:r>
        <w:rPr>
          <w:rFonts w:eastAsia="Calibri"/>
          <w:b/>
          <w:color w:val="000000"/>
          <w:u w:val="single"/>
        </w:rPr>
        <w:t>CV</w:t>
      </w:r>
    </w:p>
    <w:p w14:paraId="00000002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3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D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E" w14:textId="28CC4BF6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Name:</w:t>
      </w:r>
      <w:r w:rsidRPr="00BA7E78">
        <w:rPr>
          <w:rFonts w:eastAsia="Calibri"/>
          <w:color w:val="000000"/>
        </w:rPr>
        <w:tab/>
      </w:r>
      <w:r w:rsidR="001D1CDC">
        <w:rPr>
          <w:rFonts w:eastAsia="Calibri"/>
          <w:color w:val="000000"/>
        </w:rPr>
        <w:t xml:space="preserve">Dr. </w:t>
      </w:r>
      <w:r w:rsidR="009847D5">
        <w:t>TUTUMONI KALITA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0F" w14:textId="4E286F98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Designation</w:t>
      </w:r>
      <w:r w:rsidRPr="00BA7E78">
        <w:rPr>
          <w:rFonts w:eastAsia="Calibri"/>
          <w:color w:val="000000"/>
        </w:rPr>
        <w:t xml:space="preserve">: </w:t>
      </w:r>
      <w:r w:rsidR="009847D5" w:rsidRPr="009847D5">
        <w:rPr>
          <w:rFonts w:eastAsia="Calibri"/>
          <w:color w:val="000000"/>
        </w:rPr>
        <w:t>Assistant Professor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12" w14:textId="258DDE84" w:rsidR="00525270" w:rsidRDefault="00C345F3" w:rsidP="009847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80" w:right="300" w:hanging="288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Address for Communication</w:t>
      </w:r>
      <w:r w:rsidR="00267C0C">
        <w:rPr>
          <w:rFonts w:eastAsia="Calibri"/>
          <w:color w:val="000000"/>
        </w:rPr>
        <w:t xml:space="preserve">: </w:t>
      </w:r>
      <w:r w:rsidR="00E35D76">
        <w:rPr>
          <w:rFonts w:eastAsia="Calibri"/>
          <w:color w:val="000000"/>
        </w:rPr>
        <w:t>School</w:t>
      </w:r>
      <w:r w:rsidR="009847D5" w:rsidRPr="009847D5">
        <w:rPr>
          <w:rFonts w:eastAsia="Calibri"/>
          <w:color w:val="000000"/>
        </w:rPr>
        <w:t xml:space="preserve"> of Pharmaceutical Science</w:t>
      </w:r>
      <w:r w:rsidR="00E35D76">
        <w:rPr>
          <w:rFonts w:eastAsia="Calibri"/>
          <w:color w:val="000000"/>
        </w:rPr>
        <w:t>s</w:t>
      </w:r>
    </w:p>
    <w:p w14:paraId="4E9E38F5" w14:textId="1ABD663E" w:rsidR="00E35D76" w:rsidRPr="00E35D76" w:rsidRDefault="00E35D76" w:rsidP="009847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80" w:right="300" w:hanging="288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proofErr w:type="spellStart"/>
      <w:r>
        <w:rPr>
          <w:rFonts w:eastAsia="Calibri"/>
          <w:color w:val="000000"/>
        </w:rPr>
        <w:t>Girijananda</w:t>
      </w:r>
      <w:proofErr w:type="spellEnd"/>
      <w:r>
        <w:rPr>
          <w:rFonts w:eastAsia="Calibri"/>
          <w:color w:val="000000"/>
        </w:rPr>
        <w:t xml:space="preserve"> Chowdhury University</w:t>
      </w:r>
    </w:p>
    <w:p w14:paraId="6F1FE97E" w14:textId="0B53875E" w:rsidR="00267C0C" w:rsidRDefault="00267C0C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</w:t>
      </w:r>
      <w:proofErr w:type="spellStart"/>
      <w:r w:rsidR="009847D5" w:rsidRPr="009847D5">
        <w:rPr>
          <w:rFonts w:eastAsia="Calibri"/>
          <w:color w:val="000000"/>
        </w:rPr>
        <w:t>Hatkhowapara</w:t>
      </w:r>
      <w:proofErr w:type="spellEnd"/>
      <w:r w:rsidR="009847D5" w:rsidRPr="009847D5">
        <w:rPr>
          <w:rFonts w:eastAsia="Calibri"/>
          <w:color w:val="000000"/>
        </w:rPr>
        <w:t xml:space="preserve">, </w:t>
      </w:r>
      <w:proofErr w:type="spellStart"/>
      <w:r w:rsidR="009847D5" w:rsidRPr="009847D5">
        <w:rPr>
          <w:rFonts w:eastAsia="Calibri"/>
          <w:color w:val="000000"/>
        </w:rPr>
        <w:t>Azara</w:t>
      </w:r>
      <w:proofErr w:type="spellEnd"/>
      <w:r w:rsidR="009847D5" w:rsidRPr="009847D5">
        <w:rPr>
          <w:rFonts w:eastAsia="Calibri"/>
          <w:color w:val="000000"/>
        </w:rPr>
        <w:t>, Guwahati, Assam</w:t>
      </w:r>
      <w:r w:rsidR="009847D5">
        <w:rPr>
          <w:rFonts w:eastAsia="Calibri"/>
          <w:color w:val="000000"/>
        </w:rPr>
        <w:t>-</w:t>
      </w:r>
      <w:r w:rsidR="009847D5" w:rsidRPr="009847D5">
        <w:rPr>
          <w:rFonts w:eastAsia="Calibri"/>
          <w:color w:val="000000"/>
        </w:rPr>
        <w:t>781017</w:t>
      </w:r>
    </w:p>
    <w:p w14:paraId="5EE440DA" w14:textId="1E7CD0F4" w:rsidR="00267C0C" w:rsidRDefault="00267C0C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</w:t>
      </w:r>
    </w:p>
    <w:p w14:paraId="00000013" w14:textId="4379FEEC" w:rsidR="00525270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9847D5">
        <w:rPr>
          <w:rFonts w:eastAsia="Calibri"/>
          <w:color w:val="000000"/>
        </w:rPr>
        <w:tab/>
      </w:r>
      <w:r w:rsidR="00C345F3" w:rsidRPr="00BA7E78">
        <w:rPr>
          <w:rFonts w:eastAsia="Calibri"/>
          <w:color w:val="000000"/>
        </w:rPr>
        <w:t>Mobile</w:t>
      </w:r>
      <w:r>
        <w:rPr>
          <w:rFonts w:eastAsia="Calibri"/>
          <w:color w:val="000000"/>
        </w:rPr>
        <w:t xml:space="preserve"> No.</w:t>
      </w:r>
      <w:r w:rsidR="00C345F3" w:rsidRPr="00BA7E78">
        <w:rPr>
          <w:rFonts w:eastAsia="Calibri"/>
          <w:color w:val="000000"/>
        </w:rPr>
        <w:t xml:space="preserve">: </w:t>
      </w:r>
      <w:r w:rsidR="009847D5">
        <w:rPr>
          <w:rFonts w:eastAsia="Calibri"/>
          <w:color w:val="000000"/>
        </w:rPr>
        <w:t>+919399912721</w:t>
      </w:r>
    </w:p>
    <w:p w14:paraId="00000014" w14:textId="61BCD85A" w:rsidR="00525270" w:rsidRPr="00BA7E78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F460B4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E</w:t>
      </w:r>
      <w:r w:rsidR="00C345F3" w:rsidRPr="00BA7E78">
        <w:rPr>
          <w:rFonts w:eastAsia="Calibri"/>
          <w:color w:val="000000"/>
        </w:rPr>
        <w:t xml:space="preserve">mail: </w:t>
      </w:r>
      <w:r w:rsidR="0031603F">
        <w:rPr>
          <w:rFonts w:eastAsia="Calibri"/>
          <w:color w:val="000000"/>
        </w:rPr>
        <w:t>tutumoni_pharmag</w:t>
      </w:r>
      <w:r w:rsidR="009847D5">
        <w:rPr>
          <w:rFonts w:eastAsia="Calibri"/>
          <w:color w:val="000000"/>
        </w:rPr>
        <w:t>@</w:t>
      </w:r>
      <w:r w:rsidR="0031603F">
        <w:rPr>
          <w:rFonts w:eastAsia="Calibri"/>
          <w:color w:val="000000"/>
        </w:rPr>
        <w:t>gcuniversity</w:t>
      </w:r>
      <w:r w:rsidR="009847D5">
        <w:rPr>
          <w:rFonts w:eastAsia="Calibri"/>
          <w:color w:val="000000"/>
        </w:rPr>
        <w:t>.ac.in</w:t>
      </w:r>
    </w:p>
    <w:p w14:paraId="0000001A" w14:textId="5CBDACA0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1B" w14:textId="2BA12F98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Date of Birth</w:t>
      </w:r>
      <w:r w:rsidRPr="00BA7E78">
        <w:rPr>
          <w:rFonts w:eastAsia="Calibri"/>
          <w:color w:val="000000"/>
        </w:rPr>
        <w:t>:</w:t>
      </w:r>
      <w:r w:rsidR="009847D5">
        <w:rPr>
          <w:rFonts w:eastAsia="Calibri"/>
          <w:color w:val="000000"/>
        </w:rPr>
        <w:t xml:space="preserve"> 08-10-1996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  <w:t xml:space="preserve">  </w:t>
      </w:r>
    </w:p>
    <w:p w14:paraId="362A13B3" w14:textId="55C9B14A" w:rsidR="004C402B" w:rsidRPr="004C402B" w:rsidRDefault="004C402B" w:rsidP="004C4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4C402B">
        <w:rPr>
          <w:bCs/>
          <w:u w:val="single"/>
        </w:rPr>
        <w:t>Educational Qualifications:</w:t>
      </w:r>
    </w:p>
    <w:tbl>
      <w:tblPr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711"/>
        <w:gridCol w:w="1843"/>
        <w:gridCol w:w="3260"/>
        <w:gridCol w:w="2693"/>
      </w:tblGrid>
      <w:tr w:rsidR="00267C0C" w:rsidRPr="006F2F20" w14:paraId="4D07C6A4" w14:textId="77777777" w:rsidTr="00E35D76">
        <w:trPr>
          <w:trHeight w:val="20"/>
        </w:trPr>
        <w:tc>
          <w:tcPr>
            <w:tcW w:w="524" w:type="dxa"/>
            <w:tcBorders>
              <w:bottom w:val="nil"/>
            </w:tcBorders>
          </w:tcPr>
          <w:p w14:paraId="3851FF6F" w14:textId="77777777" w:rsidR="00267C0C" w:rsidRPr="002329A8" w:rsidRDefault="00267C0C" w:rsidP="00871CD5">
            <w:pPr>
              <w:pStyle w:val="TableParagraph"/>
              <w:ind w:left="10" w:right="72"/>
              <w:jc w:val="center"/>
              <w:rPr>
                <w:b/>
                <w:sz w:val="21"/>
              </w:rPr>
            </w:pPr>
            <w:r w:rsidRPr="002329A8">
              <w:rPr>
                <w:b/>
                <w:sz w:val="21"/>
              </w:rPr>
              <w:t>Sl.</w:t>
            </w:r>
          </w:p>
        </w:tc>
        <w:tc>
          <w:tcPr>
            <w:tcW w:w="1711" w:type="dxa"/>
            <w:tcBorders>
              <w:bottom w:val="nil"/>
            </w:tcBorders>
          </w:tcPr>
          <w:p w14:paraId="3CC121F0" w14:textId="77777777" w:rsidR="00267C0C" w:rsidRPr="002329A8" w:rsidRDefault="00267C0C" w:rsidP="00871CD5">
            <w:pPr>
              <w:pStyle w:val="TableParagraph"/>
              <w:ind w:left="189"/>
              <w:jc w:val="center"/>
              <w:rPr>
                <w:b/>
                <w:sz w:val="21"/>
              </w:rPr>
            </w:pPr>
            <w:r w:rsidRPr="002329A8">
              <w:rPr>
                <w:b/>
                <w:sz w:val="21"/>
              </w:rPr>
              <w:t>Examination Passed</w:t>
            </w:r>
          </w:p>
        </w:tc>
        <w:tc>
          <w:tcPr>
            <w:tcW w:w="1843" w:type="dxa"/>
            <w:tcBorders>
              <w:bottom w:val="nil"/>
            </w:tcBorders>
          </w:tcPr>
          <w:p w14:paraId="583FBB25" w14:textId="77777777" w:rsidR="00267C0C" w:rsidRPr="002329A8" w:rsidRDefault="00267C0C" w:rsidP="00871CD5">
            <w:pPr>
              <w:pStyle w:val="TableParagraph"/>
              <w:ind w:left="169"/>
              <w:jc w:val="center"/>
              <w:rPr>
                <w:b/>
                <w:sz w:val="21"/>
              </w:rPr>
            </w:pPr>
            <w:r w:rsidRPr="002329A8">
              <w:rPr>
                <w:b/>
                <w:sz w:val="21"/>
              </w:rPr>
              <w:t>Year of passing</w:t>
            </w:r>
          </w:p>
        </w:tc>
        <w:tc>
          <w:tcPr>
            <w:tcW w:w="3260" w:type="dxa"/>
            <w:tcBorders>
              <w:bottom w:val="nil"/>
            </w:tcBorders>
          </w:tcPr>
          <w:p w14:paraId="1FFB54CF" w14:textId="77777777" w:rsidR="00267C0C" w:rsidRPr="002329A8" w:rsidRDefault="00267C0C" w:rsidP="00871CD5">
            <w:pPr>
              <w:pStyle w:val="TableParagraph"/>
              <w:ind w:left="188"/>
              <w:jc w:val="center"/>
              <w:rPr>
                <w:b/>
                <w:sz w:val="21"/>
              </w:rPr>
            </w:pPr>
            <w:r w:rsidRPr="002329A8">
              <w:rPr>
                <w:b/>
                <w:sz w:val="21"/>
              </w:rPr>
              <w:t>Board / Council /</w:t>
            </w:r>
          </w:p>
        </w:tc>
        <w:tc>
          <w:tcPr>
            <w:tcW w:w="2693" w:type="dxa"/>
            <w:tcBorders>
              <w:bottom w:val="nil"/>
            </w:tcBorders>
          </w:tcPr>
          <w:p w14:paraId="07F13EED" w14:textId="77777777" w:rsidR="00267C0C" w:rsidRPr="002329A8" w:rsidRDefault="00267C0C" w:rsidP="005862A5">
            <w:pPr>
              <w:pStyle w:val="TableParagraph"/>
              <w:rPr>
                <w:b/>
                <w:sz w:val="21"/>
              </w:rPr>
            </w:pPr>
          </w:p>
        </w:tc>
      </w:tr>
      <w:tr w:rsidR="00267C0C" w:rsidRPr="006F2F20" w14:paraId="3810382F" w14:textId="77777777" w:rsidTr="00E35D76">
        <w:trPr>
          <w:trHeight w:val="20"/>
        </w:trPr>
        <w:tc>
          <w:tcPr>
            <w:tcW w:w="524" w:type="dxa"/>
            <w:tcBorders>
              <w:top w:val="nil"/>
              <w:bottom w:val="nil"/>
            </w:tcBorders>
          </w:tcPr>
          <w:p w14:paraId="3E5C526D" w14:textId="77777777" w:rsidR="00267C0C" w:rsidRPr="002329A8" w:rsidRDefault="00267C0C" w:rsidP="00871CD5">
            <w:pPr>
              <w:pStyle w:val="TableParagraph"/>
              <w:spacing w:before="1"/>
              <w:ind w:left="91" w:right="72"/>
              <w:jc w:val="center"/>
              <w:rPr>
                <w:b/>
                <w:sz w:val="21"/>
              </w:rPr>
            </w:pPr>
            <w:r w:rsidRPr="002329A8">
              <w:rPr>
                <w:b/>
                <w:sz w:val="21"/>
              </w:rPr>
              <w:t>No.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6D2F90F" w14:textId="77777777" w:rsidR="00267C0C" w:rsidRPr="002329A8" w:rsidRDefault="00267C0C" w:rsidP="00871CD5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6A9B002" w14:textId="77777777" w:rsidR="00267C0C" w:rsidRPr="002329A8" w:rsidRDefault="00267C0C" w:rsidP="00871CD5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6D20470" w14:textId="77777777" w:rsidR="00267C0C" w:rsidRPr="002329A8" w:rsidRDefault="00267C0C" w:rsidP="00871CD5">
            <w:pPr>
              <w:pStyle w:val="TableParagraph"/>
              <w:ind w:left="188"/>
              <w:jc w:val="center"/>
              <w:rPr>
                <w:b/>
                <w:sz w:val="21"/>
              </w:rPr>
            </w:pPr>
            <w:r w:rsidRPr="002329A8">
              <w:rPr>
                <w:b/>
                <w:sz w:val="21"/>
              </w:rPr>
              <w:t>University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200E9A5" w14:textId="77777777" w:rsidR="00267C0C" w:rsidRPr="002329A8" w:rsidRDefault="00267C0C" w:rsidP="00871CD5">
            <w:pPr>
              <w:pStyle w:val="TableParagraph"/>
              <w:ind w:left="188"/>
              <w:jc w:val="center"/>
              <w:rPr>
                <w:b/>
                <w:sz w:val="21"/>
              </w:rPr>
            </w:pPr>
            <w:r w:rsidRPr="002329A8">
              <w:rPr>
                <w:b/>
                <w:sz w:val="21"/>
              </w:rPr>
              <w:t>Specialization</w:t>
            </w:r>
          </w:p>
        </w:tc>
      </w:tr>
      <w:tr w:rsidR="00267C0C" w:rsidRPr="006F2F20" w14:paraId="5ACD12B1" w14:textId="77777777" w:rsidTr="00E35D76">
        <w:trPr>
          <w:trHeight w:val="20"/>
        </w:trPr>
        <w:tc>
          <w:tcPr>
            <w:tcW w:w="524" w:type="dxa"/>
            <w:tcBorders>
              <w:top w:val="nil"/>
              <w:bottom w:val="nil"/>
            </w:tcBorders>
          </w:tcPr>
          <w:p w14:paraId="6148235C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7817AC8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D5015E3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4646706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AD14EE9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67C0C" w:rsidRPr="006F2F20" w14:paraId="415D4E4B" w14:textId="77777777" w:rsidTr="00E35D76">
        <w:trPr>
          <w:trHeight w:val="20"/>
        </w:trPr>
        <w:tc>
          <w:tcPr>
            <w:tcW w:w="524" w:type="dxa"/>
            <w:tcBorders>
              <w:top w:val="nil"/>
            </w:tcBorders>
          </w:tcPr>
          <w:p w14:paraId="0852E62C" w14:textId="77777777" w:rsidR="00267C0C" w:rsidRPr="006F2F20" w:rsidRDefault="00267C0C" w:rsidP="00871CD5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6F54DF9A" w14:textId="77777777" w:rsidR="00267C0C" w:rsidRPr="006F2F20" w:rsidRDefault="00267C0C" w:rsidP="00871CD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6130AF0" w14:textId="77777777" w:rsidR="00267C0C" w:rsidRPr="006F2F20" w:rsidRDefault="00267C0C" w:rsidP="00871C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4397538F" w14:textId="77777777" w:rsidR="00267C0C" w:rsidRPr="006F2F20" w:rsidRDefault="00267C0C" w:rsidP="00871C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F6D5B89" w14:textId="77777777" w:rsidR="00267C0C" w:rsidRPr="006F2F20" w:rsidRDefault="00267C0C" w:rsidP="00871CD5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847D5" w:rsidRPr="006F2F20" w14:paraId="175E00BE" w14:textId="77777777" w:rsidTr="00E35D76">
        <w:trPr>
          <w:trHeight w:val="20"/>
        </w:trPr>
        <w:tc>
          <w:tcPr>
            <w:tcW w:w="524" w:type="dxa"/>
          </w:tcPr>
          <w:p w14:paraId="33915D93" w14:textId="77777777" w:rsidR="009847D5" w:rsidRPr="006F2F20" w:rsidRDefault="009847D5" w:rsidP="009847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1</w:t>
            </w:r>
          </w:p>
        </w:tc>
        <w:tc>
          <w:tcPr>
            <w:tcW w:w="1711" w:type="dxa"/>
          </w:tcPr>
          <w:p w14:paraId="6ABFB16F" w14:textId="77777777" w:rsidR="009847D5" w:rsidRPr="006F2F20" w:rsidRDefault="009847D5" w:rsidP="009847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HSLC/10</w:t>
            </w:r>
            <w:r w:rsidRPr="006F2F20">
              <w:rPr>
                <w:sz w:val="20"/>
                <w:vertAlign w:val="superscript"/>
              </w:rPr>
              <w:t>th</w:t>
            </w:r>
            <w:r w:rsidRPr="006F2F20">
              <w:rPr>
                <w:sz w:val="20"/>
              </w:rPr>
              <w:t xml:space="preserve"> Std.</w:t>
            </w:r>
          </w:p>
        </w:tc>
        <w:tc>
          <w:tcPr>
            <w:tcW w:w="1843" w:type="dxa"/>
          </w:tcPr>
          <w:p w14:paraId="5706D1C7" w14:textId="5E5258E1" w:rsidR="009847D5" w:rsidRPr="006F2F20" w:rsidRDefault="009847D5" w:rsidP="009847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3260" w:type="dxa"/>
          </w:tcPr>
          <w:p w14:paraId="3BAAB30F" w14:textId="18289904" w:rsidR="009847D5" w:rsidRPr="006F2F20" w:rsidRDefault="009847D5" w:rsidP="009847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Meghalaya Board of School Education</w:t>
            </w:r>
          </w:p>
        </w:tc>
        <w:tc>
          <w:tcPr>
            <w:tcW w:w="2693" w:type="dxa"/>
          </w:tcPr>
          <w:p w14:paraId="1EA41247" w14:textId="1FC96D55" w:rsidR="009847D5" w:rsidRPr="006F2F20" w:rsidRDefault="009847D5" w:rsidP="009847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847D5" w:rsidRPr="006F2F20" w14:paraId="2DED38BA" w14:textId="77777777" w:rsidTr="00E35D76">
        <w:trPr>
          <w:trHeight w:val="20"/>
        </w:trPr>
        <w:tc>
          <w:tcPr>
            <w:tcW w:w="524" w:type="dxa"/>
          </w:tcPr>
          <w:p w14:paraId="0C4F2F6D" w14:textId="77777777" w:rsidR="009847D5" w:rsidRPr="006F2F20" w:rsidRDefault="009847D5" w:rsidP="009847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2</w:t>
            </w:r>
          </w:p>
        </w:tc>
        <w:tc>
          <w:tcPr>
            <w:tcW w:w="1711" w:type="dxa"/>
          </w:tcPr>
          <w:p w14:paraId="54DB1721" w14:textId="77777777" w:rsidR="009847D5" w:rsidRPr="006F2F20" w:rsidRDefault="009847D5" w:rsidP="009847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HSSLC/10+2 Std.</w:t>
            </w:r>
          </w:p>
        </w:tc>
        <w:tc>
          <w:tcPr>
            <w:tcW w:w="1843" w:type="dxa"/>
          </w:tcPr>
          <w:p w14:paraId="74131F1B" w14:textId="6882E9CB" w:rsidR="009847D5" w:rsidRPr="006F2F20" w:rsidRDefault="009847D5" w:rsidP="009847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3260" w:type="dxa"/>
          </w:tcPr>
          <w:p w14:paraId="1C9D5203" w14:textId="01500B8F" w:rsidR="009847D5" w:rsidRPr="006F2F20" w:rsidRDefault="009847D5" w:rsidP="009847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Meghalaya Board of School Education</w:t>
            </w:r>
          </w:p>
        </w:tc>
        <w:tc>
          <w:tcPr>
            <w:tcW w:w="2693" w:type="dxa"/>
          </w:tcPr>
          <w:p w14:paraId="5A5FF2AA" w14:textId="5E0496DB" w:rsidR="009847D5" w:rsidRPr="006F2F20" w:rsidRDefault="009847D5" w:rsidP="009847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Science</w:t>
            </w:r>
          </w:p>
        </w:tc>
      </w:tr>
      <w:tr w:rsidR="009847D5" w:rsidRPr="006F2F20" w14:paraId="5AE4AF33" w14:textId="77777777" w:rsidTr="00E35D76">
        <w:trPr>
          <w:trHeight w:val="20"/>
        </w:trPr>
        <w:tc>
          <w:tcPr>
            <w:tcW w:w="524" w:type="dxa"/>
          </w:tcPr>
          <w:p w14:paraId="00A610AA" w14:textId="77777777" w:rsidR="009847D5" w:rsidRPr="006F2F20" w:rsidRDefault="009847D5" w:rsidP="009847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3</w:t>
            </w:r>
          </w:p>
        </w:tc>
        <w:tc>
          <w:tcPr>
            <w:tcW w:w="1711" w:type="dxa"/>
          </w:tcPr>
          <w:p w14:paraId="7DD9FC1B" w14:textId="288ADFC9" w:rsidR="009847D5" w:rsidRPr="006F2F20" w:rsidRDefault="009847D5" w:rsidP="00E35D76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 xml:space="preserve">Degree </w:t>
            </w:r>
          </w:p>
        </w:tc>
        <w:tc>
          <w:tcPr>
            <w:tcW w:w="1843" w:type="dxa"/>
          </w:tcPr>
          <w:p w14:paraId="2EA99A69" w14:textId="76D81542" w:rsidR="009847D5" w:rsidRPr="006F2F20" w:rsidRDefault="009847D5" w:rsidP="009847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3260" w:type="dxa"/>
          </w:tcPr>
          <w:p w14:paraId="3B95843D" w14:textId="5AB47A8A" w:rsidR="009847D5" w:rsidRPr="006F2F20" w:rsidRDefault="009847D5" w:rsidP="009847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Rajiv Gandhi </w:t>
            </w:r>
            <w:proofErr w:type="spellStart"/>
            <w:r>
              <w:rPr>
                <w:sz w:val="20"/>
              </w:rPr>
              <w:t>Proudyogiki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Vishwavidyalaya</w:t>
            </w:r>
            <w:proofErr w:type="spellEnd"/>
          </w:p>
        </w:tc>
        <w:tc>
          <w:tcPr>
            <w:tcW w:w="2693" w:type="dxa"/>
          </w:tcPr>
          <w:p w14:paraId="71FEE6AF" w14:textId="2582A38F" w:rsidR="009847D5" w:rsidRPr="006F2F20" w:rsidRDefault="009847D5" w:rsidP="009847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B. Pharm</w:t>
            </w:r>
          </w:p>
        </w:tc>
      </w:tr>
      <w:tr w:rsidR="009847D5" w:rsidRPr="006F2F20" w14:paraId="79DD0AF9" w14:textId="77777777" w:rsidTr="00E35D76">
        <w:trPr>
          <w:trHeight w:val="20"/>
        </w:trPr>
        <w:tc>
          <w:tcPr>
            <w:tcW w:w="524" w:type="dxa"/>
          </w:tcPr>
          <w:p w14:paraId="12221976" w14:textId="77777777" w:rsidR="009847D5" w:rsidRPr="006F2F20" w:rsidRDefault="009847D5" w:rsidP="009847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4</w:t>
            </w:r>
          </w:p>
        </w:tc>
        <w:tc>
          <w:tcPr>
            <w:tcW w:w="1711" w:type="dxa"/>
          </w:tcPr>
          <w:p w14:paraId="0A3D41E0" w14:textId="16B67C72" w:rsidR="009847D5" w:rsidRPr="006F2F20" w:rsidRDefault="009847D5" w:rsidP="00E35D76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Master’s Degree</w:t>
            </w:r>
          </w:p>
        </w:tc>
        <w:tc>
          <w:tcPr>
            <w:tcW w:w="1843" w:type="dxa"/>
          </w:tcPr>
          <w:p w14:paraId="6B14D855" w14:textId="58CDE55C" w:rsidR="009847D5" w:rsidRPr="006F2F20" w:rsidRDefault="009847D5" w:rsidP="009847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3260" w:type="dxa"/>
          </w:tcPr>
          <w:p w14:paraId="19BC2A4B" w14:textId="6DE4E378" w:rsidR="009847D5" w:rsidRPr="006F2F20" w:rsidRDefault="009847D5" w:rsidP="009847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Dibrugarh University</w:t>
            </w:r>
          </w:p>
        </w:tc>
        <w:tc>
          <w:tcPr>
            <w:tcW w:w="2693" w:type="dxa"/>
          </w:tcPr>
          <w:p w14:paraId="62AF4AFF" w14:textId="1B4B7C58" w:rsidR="009847D5" w:rsidRPr="006F2F20" w:rsidRDefault="009847D5" w:rsidP="009847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Pharmaceutical Chemistry</w:t>
            </w:r>
          </w:p>
        </w:tc>
      </w:tr>
      <w:tr w:rsidR="009847D5" w:rsidRPr="006F2F20" w14:paraId="32F4E5E2" w14:textId="77777777" w:rsidTr="00E35D76">
        <w:trPr>
          <w:trHeight w:val="20"/>
        </w:trPr>
        <w:tc>
          <w:tcPr>
            <w:tcW w:w="524" w:type="dxa"/>
          </w:tcPr>
          <w:p w14:paraId="784FDC2C" w14:textId="77777777" w:rsidR="009847D5" w:rsidRPr="006F2F20" w:rsidRDefault="009847D5" w:rsidP="009847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6</w:t>
            </w:r>
          </w:p>
        </w:tc>
        <w:tc>
          <w:tcPr>
            <w:tcW w:w="1711" w:type="dxa"/>
          </w:tcPr>
          <w:p w14:paraId="2ABE7B32" w14:textId="1A01BB86" w:rsidR="009847D5" w:rsidRPr="006F2F20" w:rsidRDefault="009847D5" w:rsidP="00E35D76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 xml:space="preserve">Ph. D. </w:t>
            </w:r>
          </w:p>
        </w:tc>
        <w:tc>
          <w:tcPr>
            <w:tcW w:w="1843" w:type="dxa"/>
          </w:tcPr>
          <w:p w14:paraId="688906B4" w14:textId="69F49D8A" w:rsidR="009847D5" w:rsidRPr="006F2F20" w:rsidRDefault="001D1CDC" w:rsidP="009847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3260" w:type="dxa"/>
          </w:tcPr>
          <w:p w14:paraId="6BD3038D" w14:textId="0B3DCBB3" w:rsidR="009847D5" w:rsidRPr="006F2F20" w:rsidRDefault="009847D5" w:rsidP="009847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Dibrugarh University</w:t>
            </w:r>
          </w:p>
        </w:tc>
        <w:tc>
          <w:tcPr>
            <w:tcW w:w="2693" w:type="dxa"/>
          </w:tcPr>
          <w:p w14:paraId="193C2219" w14:textId="316E4C27" w:rsidR="009847D5" w:rsidRPr="006F2F20" w:rsidRDefault="009847D5" w:rsidP="009847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Synthetic Chemistry</w:t>
            </w:r>
          </w:p>
        </w:tc>
      </w:tr>
    </w:tbl>
    <w:p w14:paraId="0000001C" w14:textId="42C90DFA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1E" w14:textId="7FB75C7C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Languages known</w:t>
      </w:r>
      <w:r w:rsidRPr="00BA7E78">
        <w:rPr>
          <w:rFonts w:eastAsia="Calibri"/>
          <w:color w:val="000000"/>
        </w:rPr>
        <w:t>:</w:t>
      </w:r>
      <w:r w:rsidR="009847D5">
        <w:rPr>
          <w:rFonts w:eastAsia="Calibri"/>
          <w:color w:val="000000"/>
        </w:rPr>
        <w:t xml:space="preserve"> English, Hindi, Assamese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  <w:t xml:space="preserve"> </w:t>
      </w:r>
      <w:r w:rsidRPr="00BA7E78">
        <w:rPr>
          <w:rFonts w:eastAsia="Calibri"/>
          <w:color w:val="000000"/>
        </w:rPr>
        <w:tab/>
      </w:r>
    </w:p>
    <w:p w14:paraId="0000001F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  <w:u w:val="single"/>
        </w:rPr>
      </w:pPr>
    </w:p>
    <w:p w14:paraId="00000022" w14:textId="4CF00881" w:rsidR="00525270" w:rsidRPr="00BA7E78" w:rsidRDefault="00BA7E78" w:rsidP="00E706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>Academic/ Administrative</w:t>
      </w:r>
      <w:r w:rsidR="00C345F3" w:rsidRPr="00BA7E78">
        <w:rPr>
          <w:rFonts w:eastAsia="Calibri"/>
          <w:color w:val="000000"/>
          <w:u w:val="single"/>
        </w:rPr>
        <w:t xml:space="preserve"> Experience:</w:t>
      </w:r>
      <w:r w:rsidR="00E35D76">
        <w:rPr>
          <w:rFonts w:eastAsia="Calibri"/>
          <w:color w:val="000000"/>
          <w:u w:val="single"/>
        </w:rPr>
        <w:t xml:space="preserve"> </w:t>
      </w:r>
      <w:r w:rsidR="00510DFA">
        <w:rPr>
          <w:rFonts w:eastAsia="Calibri"/>
          <w:color w:val="000000"/>
          <w:u w:val="single"/>
        </w:rPr>
        <w:t>5</w:t>
      </w:r>
      <w:r w:rsidR="001D1CDC">
        <w:rPr>
          <w:rFonts w:eastAsia="Calibri"/>
          <w:color w:val="000000"/>
          <w:u w:val="single"/>
        </w:rPr>
        <w:t>.5</w:t>
      </w:r>
      <w:r w:rsidR="00510DFA">
        <w:rPr>
          <w:rFonts w:eastAsia="Calibri"/>
          <w:color w:val="000000"/>
          <w:u w:val="single"/>
        </w:rPr>
        <w:t xml:space="preserve"> </w:t>
      </w:r>
      <w:r w:rsidR="009847D5">
        <w:rPr>
          <w:rFonts w:eastAsia="Calibri"/>
          <w:color w:val="000000"/>
          <w:u w:val="single"/>
        </w:rPr>
        <w:t>years</w:t>
      </w:r>
      <w:r w:rsidR="00C345F3" w:rsidRPr="00BA7E78">
        <w:rPr>
          <w:rFonts w:eastAsia="Calibri"/>
          <w:color w:val="000000"/>
        </w:rPr>
        <w:tab/>
      </w:r>
      <w:r w:rsidR="00C345F3" w:rsidRPr="00BA7E78">
        <w:rPr>
          <w:rFonts w:eastAsia="Calibri"/>
          <w:color w:val="000000"/>
        </w:rPr>
        <w:tab/>
      </w:r>
      <w:r w:rsidR="00C345F3" w:rsidRPr="00BA7E78">
        <w:rPr>
          <w:rFonts w:eastAsia="Calibri"/>
          <w:color w:val="000000"/>
        </w:rPr>
        <w:tab/>
      </w:r>
    </w:p>
    <w:p w14:paraId="00000027" w14:textId="34F9A306" w:rsidR="00525270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 xml:space="preserve">List of </w:t>
      </w:r>
      <w:r w:rsidR="00BA7E78" w:rsidRPr="00BA7E78">
        <w:rPr>
          <w:rFonts w:eastAsia="Calibri"/>
          <w:color w:val="000000"/>
          <w:u w:val="single"/>
        </w:rPr>
        <w:t>Publications:</w:t>
      </w:r>
    </w:p>
    <w:p w14:paraId="652155B1" w14:textId="3E6F310B" w:rsidR="001D1CDC" w:rsidRDefault="001D1CDC" w:rsidP="001D1CD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1D1CDC">
        <w:rPr>
          <w:rFonts w:ascii="Times New Roman" w:eastAsia="Calibri" w:hAnsi="Times New Roman" w:cs="Times New Roman"/>
          <w:b/>
          <w:color w:val="000000"/>
        </w:rPr>
        <w:t>Kalita</w:t>
      </w:r>
      <w:proofErr w:type="spellEnd"/>
      <w:r w:rsidRPr="001D1CDC">
        <w:rPr>
          <w:rFonts w:ascii="Times New Roman" w:eastAsia="Calibri" w:hAnsi="Times New Roman" w:cs="Times New Roman"/>
          <w:b/>
          <w:color w:val="000000"/>
        </w:rPr>
        <w:t xml:space="preserve"> T</w:t>
      </w:r>
      <w:r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</w:rPr>
        <w:t>Shakya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A, </w:t>
      </w:r>
      <w:r w:rsidRPr="001D1CDC">
        <w:rPr>
          <w:rFonts w:ascii="Times New Roman" w:eastAsia="Calibri" w:hAnsi="Times New Roman" w:cs="Times New Roman"/>
          <w:color w:val="000000"/>
        </w:rPr>
        <w:t>Ghosh SK, Singh UP, Bhat HR</w:t>
      </w:r>
      <w:r>
        <w:rPr>
          <w:rFonts w:ascii="Times New Roman" w:eastAsia="Calibri" w:hAnsi="Times New Roman" w:cs="Times New Roman"/>
          <w:color w:val="000000"/>
        </w:rPr>
        <w:t>.</w:t>
      </w:r>
      <w:r w:rsidRPr="001D1CDC">
        <w:rPr>
          <w:rFonts w:ascii="Times New Roman" w:eastAsia="Calibri" w:hAnsi="Times New Roman" w:cs="Times New Roman"/>
          <w:color w:val="000000"/>
        </w:rPr>
        <w:t xml:space="preserve"> Synthesis and </w:t>
      </w:r>
      <w:proofErr w:type="gramStart"/>
      <w:r w:rsidRPr="001D1CDC">
        <w:rPr>
          <w:rFonts w:ascii="Times New Roman" w:eastAsia="Calibri" w:hAnsi="Times New Roman" w:cs="Times New Roman"/>
          <w:color w:val="000000"/>
        </w:rPr>
        <w:t>In</w:t>
      </w:r>
      <w:proofErr w:type="gramEnd"/>
      <w:r w:rsidRPr="001D1CDC">
        <w:rPr>
          <w:rFonts w:ascii="Times New Roman" w:eastAsia="Calibri" w:hAnsi="Times New Roman" w:cs="Times New Roman"/>
          <w:color w:val="000000"/>
        </w:rPr>
        <w:t xml:space="preserve"> Vitro Anti-Alzheimer Evaluation of Novel s-</w:t>
      </w:r>
      <w:proofErr w:type="spellStart"/>
      <w:r w:rsidRPr="001D1CDC">
        <w:rPr>
          <w:rFonts w:ascii="Times New Roman" w:eastAsia="Calibri" w:hAnsi="Times New Roman" w:cs="Times New Roman"/>
          <w:color w:val="000000"/>
        </w:rPr>
        <w:t>Triazine</w:t>
      </w:r>
      <w:proofErr w:type="spellEnd"/>
      <w:r w:rsidRPr="001D1CDC">
        <w:rPr>
          <w:rFonts w:ascii="Times New Roman" w:eastAsia="Calibri" w:hAnsi="Times New Roman" w:cs="Times New Roman"/>
          <w:color w:val="000000"/>
        </w:rPr>
        <w:t>-</w:t>
      </w:r>
      <w:proofErr w:type="spellStart"/>
      <w:r w:rsidRPr="001D1CDC">
        <w:rPr>
          <w:rFonts w:ascii="Times New Roman" w:eastAsia="Calibri" w:hAnsi="Times New Roman" w:cs="Times New Roman"/>
          <w:color w:val="000000"/>
        </w:rPr>
        <w:t>Isonicotinamide</w:t>
      </w:r>
      <w:proofErr w:type="spellEnd"/>
      <w:r w:rsidRPr="001D1CDC">
        <w:rPr>
          <w:rFonts w:ascii="Times New Roman" w:eastAsia="Calibri" w:hAnsi="Times New Roman" w:cs="Times New Roman"/>
          <w:color w:val="000000"/>
        </w:rPr>
        <w:t xml:space="preserve"> Derivatives as Acetylcholinesterase and </w:t>
      </w:r>
      <w:proofErr w:type="spellStart"/>
      <w:r w:rsidRPr="001D1CDC">
        <w:rPr>
          <w:rFonts w:ascii="Times New Roman" w:eastAsia="Calibri" w:hAnsi="Times New Roman" w:cs="Times New Roman"/>
          <w:color w:val="000000"/>
        </w:rPr>
        <w:t>Butyrylcholinesterase</w:t>
      </w:r>
      <w:proofErr w:type="spellEnd"/>
      <w:r w:rsidRPr="001D1CDC">
        <w:rPr>
          <w:rFonts w:ascii="Times New Roman" w:eastAsia="Calibri" w:hAnsi="Times New Roman" w:cs="Times New Roman"/>
          <w:color w:val="000000"/>
        </w:rPr>
        <w:t xml:space="preserve"> Inhibitors</w:t>
      </w:r>
      <w:r>
        <w:rPr>
          <w:rFonts w:ascii="Times New Roman" w:eastAsia="Calibri" w:hAnsi="Times New Roman" w:cs="Times New Roman"/>
          <w:color w:val="000000"/>
        </w:rPr>
        <w:t>.</w:t>
      </w:r>
      <w:r w:rsidRPr="001D1CDC">
        <w:rPr>
          <w:rFonts w:ascii="Times New Roman" w:eastAsia="Calibri" w:hAnsi="Times New Roman" w:cs="Times New Roman"/>
          <w:color w:val="000000"/>
        </w:rPr>
        <w:t xml:space="preserve"> </w:t>
      </w:r>
      <w:r w:rsidRPr="00A21FD8">
        <w:rPr>
          <w:rFonts w:ascii="Times New Roman" w:eastAsia="Calibri" w:hAnsi="Times New Roman" w:cs="Times New Roman"/>
          <w:color w:val="000000"/>
        </w:rPr>
        <w:t>Jour</w:t>
      </w:r>
      <w:r>
        <w:rPr>
          <w:rFonts w:ascii="Times New Roman" w:eastAsia="Calibri" w:hAnsi="Times New Roman" w:cs="Times New Roman"/>
          <w:color w:val="000000"/>
        </w:rPr>
        <w:t>nal of Molecular Structure. 2026;1461</w:t>
      </w:r>
      <w:r w:rsidRPr="00A21FD8">
        <w:rPr>
          <w:rFonts w:ascii="Times New Roman" w:eastAsia="Calibri" w:hAnsi="Times New Roman" w:cs="Times New Roman"/>
          <w:color w:val="000000"/>
        </w:rPr>
        <w:t>7</w:t>
      </w:r>
      <w:r>
        <w:rPr>
          <w:rFonts w:ascii="Times New Roman" w:eastAsia="Calibri" w:hAnsi="Times New Roman" w:cs="Times New Roman"/>
          <w:color w:val="000000"/>
        </w:rPr>
        <w:t>8.</w:t>
      </w:r>
    </w:p>
    <w:p w14:paraId="51AB9957" w14:textId="76CB023A" w:rsidR="001D1CDC" w:rsidRPr="001D1CDC" w:rsidRDefault="001D1CDC" w:rsidP="001D1CD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1D1CDC">
        <w:rPr>
          <w:rFonts w:ascii="Times New Roman" w:eastAsia="Calibri" w:hAnsi="Times New Roman" w:cs="Times New Roman"/>
          <w:color w:val="000000"/>
        </w:rPr>
        <w:lastRenderedPageBreak/>
        <w:t>Thakuria</w:t>
      </w:r>
      <w:proofErr w:type="spellEnd"/>
      <w:r w:rsidRPr="001D1CDC">
        <w:rPr>
          <w:rFonts w:ascii="Times New Roman" w:eastAsia="Calibri" w:hAnsi="Times New Roman" w:cs="Times New Roman"/>
          <w:color w:val="000000"/>
        </w:rPr>
        <w:t xml:space="preserve"> PP, </w:t>
      </w:r>
      <w:proofErr w:type="spellStart"/>
      <w:r w:rsidRPr="001D1CDC">
        <w:rPr>
          <w:rFonts w:ascii="Times New Roman" w:eastAsia="Calibri" w:hAnsi="Times New Roman" w:cs="Times New Roman"/>
          <w:color w:val="000000"/>
        </w:rPr>
        <w:t>Kalita</w:t>
      </w:r>
      <w:proofErr w:type="spellEnd"/>
      <w:r w:rsidRPr="001D1CDC">
        <w:rPr>
          <w:rFonts w:ascii="Times New Roman" w:eastAsia="Calibri" w:hAnsi="Times New Roman" w:cs="Times New Roman"/>
          <w:color w:val="000000"/>
        </w:rPr>
        <w:t xml:space="preserve"> JM, </w:t>
      </w:r>
      <w:proofErr w:type="spellStart"/>
      <w:r w:rsidRPr="001D1CDC">
        <w:rPr>
          <w:rFonts w:ascii="Times New Roman" w:eastAsia="Calibri" w:hAnsi="Times New Roman" w:cs="Times New Roman"/>
          <w:color w:val="000000"/>
        </w:rPr>
        <w:t>Bharali</w:t>
      </w:r>
      <w:proofErr w:type="spellEnd"/>
      <w:r w:rsidRPr="001D1CDC">
        <w:rPr>
          <w:rFonts w:ascii="Times New Roman" w:eastAsia="Calibri" w:hAnsi="Times New Roman" w:cs="Times New Roman"/>
          <w:color w:val="000000"/>
        </w:rPr>
        <w:t xml:space="preserve"> A, </w:t>
      </w:r>
      <w:proofErr w:type="spellStart"/>
      <w:r w:rsidRPr="001D1CDC">
        <w:rPr>
          <w:rFonts w:ascii="Times New Roman" w:eastAsia="Calibri" w:hAnsi="Times New Roman" w:cs="Times New Roman"/>
          <w:color w:val="000000"/>
        </w:rPr>
        <w:t>Banu</w:t>
      </w:r>
      <w:proofErr w:type="spellEnd"/>
      <w:r w:rsidRPr="001D1CDC">
        <w:rPr>
          <w:rFonts w:ascii="Times New Roman" w:eastAsia="Calibri" w:hAnsi="Times New Roman" w:cs="Times New Roman"/>
          <w:color w:val="000000"/>
        </w:rPr>
        <w:t xml:space="preserve"> ZW, </w:t>
      </w:r>
      <w:proofErr w:type="spellStart"/>
      <w:r w:rsidRPr="001D1CDC">
        <w:rPr>
          <w:rFonts w:ascii="Times New Roman" w:eastAsia="Calibri" w:hAnsi="Times New Roman" w:cs="Times New Roman"/>
          <w:b/>
          <w:color w:val="000000"/>
        </w:rPr>
        <w:t>Kalita</w:t>
      </w:r>
      <w:proofErr w:type="spellEnd"/>
      <w:r w:rsidRPr="001D1CDC">
        <w:rPr>
          <w:rFonts w:ascii="Times New Roman" w:eastAsia="Calibri" w:hAnsi="Times New Roman" w:cs="Times New Roman"/>
          <w:b/>
          <w:color w:val="000000"/>
        </w:rPr>
        <w:t xml:space="preserve"> T*</w:t>
      </w:r>
      <w:r w:rsidRPr="001D1CDC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1D1CDC">
        <w:rPr>
          <w:rFonts w:ascii="Times New Roman" w:eastAsia="Calibri" w:hAnsi="Times New Roman" w:cs="Times New Roman"/>
          <w:color w:val="000000"/>
        </w:rPr>
        <w:t>Laloo</w:t>
      </w:r>
      <w:proofErr w:type="spellEnd"/>
      <w:r w:rsidRPr="001D1CDC">
        <w:rPr>
          <w:rFonts w:ascii="Times New Roman" w:eastAsia="Calibri" w:hAnsi="Times New Roman" w:cs="Times New Roman"/>
          <w:color w:val="000000"/>
        </w:rPr>
        <w:t xml:space="preserve"> D. Investigating low molecular weight </w:t>
      </w:r>
      <w:proofErr w:type="spellStart"/>
      <w:r w:rsidRPr="001D1CDC">
        <w:rPr>
          <w:rFonts w:ascii="Times New Roman" w:eastAsia="Calibri" w:hAnsi="Times New Roman" w:cs="Times New Roman"/>
          <w:color w:val="000000"/>
        </w:rPr>
        <w:t>phenolics</w:t>
      </w:r>
      <w:proofErr w:type="spellEnd"/>
      <w:r w:rsidRPr="001D1CDC">
        <w:rPr>
          <w:rFonts w:ascii="Times New Roman" w:eastAsia="Calibri" w:hAnsi="Times New Roman" w:cs="Times New Roman"/>
          <w:color w:val="000000"/>
        </w:rPr>
        <w:t xml:space="preserve"> for inhibition of H+/K+-ATPase activity: Insights from in vivo and in </w:t>
      </w:r>
      <w:proofErr w:type="spellStart"/>
      <w:r w:rsidRPr="001D1CDC">
        <w:rPr>
          <w:rFonts w:ascii="Times New Roman" w:eastAsia="Calibri" w:hAnsi="Times New Roman" w:cs="Times New Roman"/>
          <w:color w:val="000000"/>
        </w:rPr>
        <w:t>silico</w:t>
      </w:r>
      <w:proofErr w:type="spellEnd"/>
      <w:r w:rsidRPr="001D1CDC">
        <w:rPr>
          <w:rFonts w:ascii="Times New Roman" w:eastAsia="Calibri" w:hAnsi="Times New Roman" w:cs="Times New Roman"/>
          <w:color w:val="000000"/>
        </w:rPr>
        <w:t xml:space="preserve"> approaches. In </w:t>
      </w:r>
      <w:proofErr w:type="spellStart"/>
      <w:r w:rsidRPr="001D1CDC">
        <w:rPr>
          <w:rFonts w:ascii="Times New Roman" w:eastAsia="Calibri" w:hAnsi="Times New Roman" w:cs="Times New Roman"/>
          <w:color w:val="000000"/>
        </w:rPr>
        <w:t>Silico</w:t>
      </w:r>
      <w:proofErr w:type="spellEnd"/>
      <w:r w:rsidRPr="001D1CDC">
        <w:rPr>
          <w:rFonts w:ascii="Times New Roman" w:eastAsia="Calibri" w:hAnsi="Times New Roman" w:cs="Times New Roman"/>
          <w:color w:val="000000"/>
        </w:rPr>
        <w:t xml:space="preserve"> Research in Biomedicine. 2025 Nov 17:100122.</w:t>
      </w:r>
    </w:p>
    <w:p w14:paraId="335F7460" w14:textId="0E0785FB" w:rsidR="001D1CDC" w:rsidRDefault="001D1CDC" w:rsidP="001D1CD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1D1CDC">
        <w:rPr>
          <w:rFonts w:ascii="Times New Roman" w:eastAsia="Calibri" w:hAnsi="Times New Roman" w:cs="Times New Roman"/>
          <w:b/>
          <w:color w:val="000000"/>
        </w:rPr>
        <w:t>Kalita</w:t>
      </w:r>
      <w:proofErr w:type="spellEnd"/>
      <w:r w:rsidRPr="001D1CDC">
        <w:rPr>
          <w:rFonts w:ascii="Times New Roman" w:eastAsia="Calibri" w:hAnsi="Times New Roman" w:cs="Times New Roman"/>
          <w:b/>
          <w:color w:val="000000"/>
        </w:rPr>
        <w:t xml:space="preserve"> T</w:t>
      </w:r>
      <w:r w:rsidRPr="001D1CDC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1D1CDC">
        <w:rPr>
          <w:rFonts w:ascii="Times New Roman" w:eastAsia="Calibri" w:hAnsi="Times New Roman" w:cs="Times New Roman"/>
          <w:color w:val="000000"/>
        </w:rPr>
        <w:t>Shakya</w:t>
      </w:r>
      <w:proofErr w:type="spellEnd"/>
      <w:r w:rsidRPr="001D1CDC">
        <w:rPr>
          <w:rFonts w:ascii="Times New Roman" w:eastAsia="Calibri" w:hAnsi="Times New Roman" w:cs="Times New Roman"/>
          <w:color w:val="000000"/>
        </w:rPr>
        <w:t xml:space="preserve"> A, Ghosh SK, Singh UP, Bhat HR. Microwave‐Assisted Synthesis and </w:t>
      </w:r>
      <w:proofErr w:type="gramStart"/>
      <w:r w:rsidRPr="001D1CDC">
        <w:rPr>
          <w:rFonts w:ascii="Times New Roman" w:eastAsia="Calibri" w:hAnsi="Times New Roman" w:cs="Times New Roman"/>
          <w:color w:val="000000"/>
        </w:rPr>
        <w:t>In</w:t>
      </w:r>
      <w:proofErr w:type="gramEnd"/>
      <w:r w:rsidRPr="001D1CDC">
        <w:rPr>
          <w:rFonts w:ascii="Times New Roman" w:eastAsia="Calibri" w:hAnsi="Times New Roman" w:cs="Times New Roman"/>
          <w:color w:val="000000"/>
        </w:rPr>
        <w:t xml:space="preserve"> Vitro Anti‐Alzheimer Evaluation of Novel 1, 3, 5‐Triazine‐Nicotinic Hydrazide Derivatives as Acetylcholinesterase and </w:t>
      </w:r>
      <w:proofErr w:type="spellStart"/>
      <w:r w:rsidRPr="001D1CDC">
        <w:rPr>
          <w:rFonts w:ascii="Times New Roman" w:eastAsia="Calibri" w:hAnsi="Times New Roman" w:cs="Times New Roman"/>
          <w:color w:val="000000"/>
        </w:rPr>
        <w:t>Butyrylcholinesterase</w:t>
      </w:r>
      <w:proofErr w:type="spellEnd"/>
      <w:r w:rsidRPr="001D1CDC">
        <w:rPr>
          <w:rFonts w:ascii="Times New Roman" w:eastAsia="Calibri" w:hAnsi="Times New Roman" w:cs="Times New Roman"/>
          <w:color w:val="000000"/>
        </w:rPr>
        <w:t xml:space="preserve"> Inhibitors. Journal of Biochemical and Molecular Toxicology. 2026 Jan;40(1</w:t>
      </w:r>
      <w:proofErr w:type="gramStart"/>
      <w:r w:rsidRPr="001D1CDC">
        <w:rPr>
          <w:rFonts w:ascii="Times New Roman" w:eastAsia="Calibri" w:hAnsi="Times New Roman" w:cs="Times New Roman"/>
          <w:color w:val="000000"/>
        </w:rPr>
        <w:t>):e</w:t>
      </w:r>
      <w:proofErr w:type="gramEnd"/>
      <w:r w:rsidRPr="001D1CDC">
        <w:rPr>
          <w:rFonts w:ascii="Times New Roman" w:eastAsia="Calibri" w:hAnsi="Times New Roman" w:cs="Times New Roman"/>
          <w:color w:val="000000"/>
        </w:rPr>
        <w:t>70685.</w:t>
      </w:r>
    </w:p>
    <w:p w14:paraId="0B33D596" w14:textId="1BD41CBE" w:rsidR="001D1CDC" w:rsidRPr="001D1CDC" w:rsidRDefault="001D1CDC" w:rsidP="001D1CD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1D1CDC">
        <w:rPr>
          <w:rFonts w:ascii="Times New Roman" w:eastAsia="Calibri" w:hAnsi="Times New Roman" w:cs="Times New Roman"/>
          <w:color w:val="000000"/>
        </w:rPr>
        <w:t>Deka</w:t>
      </w:r>
      <w:proofErr w:type="spellEnd"/>
      <w:r w:rsidRPr="001D1CDC">
        <w:rPr>
          <w:rFonts w:ascii="Times New Roman" w:eastAsia="Calibri" w:hAnsi="Times New Roman" w:cs="Times New Roman"/>
          <w:color w:val="000000"/>
        </w:rPr>
        <w:t xml:space="preserve"> K, </w:t>
      </w:r>
      <w:proofErr w:type="spellStart"/>
      <w:r w:rsidRPr="001D1CDC">
        <w:rPr>
          <w:rFonts w:ascii="Times New Roman" w:eastAsia="Calibri" w:hAnsi="Times New Roman" w:cs="Times New Roman"/>
          <w:b/>
          <w:color w:val="000000"/>
        </w:rPr>
        <w:t>Kalita</w:t>
      </w:r>
      <w:proofErr w:type="spellEnd"/>
      <w:r w:rsidRPr="001D1CDC">
        <w:rPr>
          <w:rFonts w:ascii="Times New Roman" w:eastAsia="Calibri" w:hAnsi="Times New Roman" w:cs="Times New Roman"/>
          <w:b/>
          <w:color w:val="000000"/>
        </w:rPr>
        <w:t xml:space="preserve"> T</w:t>
      </w:r>
      <w:r w:rsidRPr="001D1CDC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1D1CDC">
        <w:rPr>
          <w:rFonts w:ascii="Times New Roman" w:eastAsia="Calibri" w:hAnsi="Times New Roman" w:cs="Times New Roman"/>
          <w:color w:val="000000"/>
        </w:rPr>
        <w:t>Thakuria</w:t>
      </w:r>
      <w:proofErr w:type="spellEnd"/>
      <w:r w:rsidRPr="001D1CDC">
        <w:rPr>
          <w:rFonts w:ascii="Times New Roman" w:eastAsia="Calibri" w:hAnsi="Times New Roman" w:cs="Times New Roman"/>
          <w:color w:val="000000"/>
        </w:rPr>
        <w:t xml:space="preserve"> B, </w:t>
      </w:r>
      <w:proofErr w:type="spellStart"/>
      <w:r w:rsidRPr="001D1CDC">
        <w:rPr>
          <w:rFonts w:ascii="Times New Roman" w:eastAsia="Calibri" w:hAnsi="Times New Roman" w:cs="Times New Roman"/>
          <w:color w:val="000000"/>
        </w:rPr>
        <w:t>Nongbet</w:t>
      </w:r>
      <w:proofErr w:type="spellEnd"/>
      <w:r w:rsidRPr="001D1CDC">
        <w:rPr>
          <w:rFonts w:ascii="Times New Roman" w:eastAsia="Calibri" w:hAnsi="Times New Roman" w:cs="Times New Roman"/>
          <w:color w:val="000000"/>
        </w:rPr>
        <w:t xml:space="preserve"> RD, </w:t>
      </w:r>
      <w:proofErr w:type="spellStart"/>
      <w:r w:rsidRPr="001D1CDC">
        <w:rPr>
          <w:rFonts w:ascii="Times New Roman" w:eastAsia="Calibri" w:hAnsi="Times New Roman" w:cs="Times New Roman"/>
          <w:color w:val="000000"/>
        </w:rPr>
        <w:t>Bhaduri</w:t>
      </w:r>
      <w:proofErr w:type="spellEnd"/>
      <w:r w:rsidRPr="001D1CDC">
        <w:rPr>
          <w:rFonts w:ascii="Times New Roman" w:eastAsia="Calibri" w:hAnsi="Times New Roman" w:cs="Times New Roman"/>
          <w:color w:val="000000"/>
        </w:rPr>
        <w:t xml:space="preserve"> I, </w:t>
      </w:r>
      <w:proofErr w:type="spellStart"/>
      <w:r w:rsidRPr="001D1CDC">
        <w:rPr>
          <w:rFonts w:ascii="Times New Roman" w:eastAsia="Calibri" w:hAnsi="Times New Roman" w:cs="Times New Roman"/>
          <w:color w:val="000000"/>
        </w:rPr>
        <w:t>Deka</w:t>
      </w:r>
      <w:proofErr w:type="spellEnd"/>
      <w:r w:rsidRPr="001D1CDC">
        <w:rPr>
          <w:rFonts w:ascii="Times New Roman" w:eastAsia="Calibri" w:hAnsi="Times New Roman" w:cs="Times New Roman"/>
          <w:color w:val="000000"/>
        </w:rPr>
        <w:t xml:space="preserve"> G, </w:t>
      </w:r>
      <w:proofErr w:type="spellStart"/>
      <w:r w:rsidRPr="001D1CDC">
        <w:rPr>
          <w:rFonts w:ascii="Times New Roman" w:eastAsia="Calibri" w:hAnsi="Times New Roman" w:cs="Times New Roman"/>
          <w:color w:val="000000"/>
        </w:rPr>
        <w:t>Chavda</w:t>
      </w:r>
      <w:proofErr w:type="spellEnd"/>
      <w:r w:rsidRPr="001D1CDC">
        <w:rPr>
          <w:rFonts w:ascii="Times New Roman" w:eastAsia="Calibri" w:hAnsi="Times New Roman" w:cs="Times New Roman"/>
          <w:color w:val="000000"/>
        </w:rPr>
        <w:t xml:space="preserve"> VP. Unlocking the Potential: Repurposing Drugs for Neurodegeneration. </w:t>
      </w:r>
      <w:proofErr w:type="spellStart"/>
      <w:r w:rsidRPr="001D1CDC">
        <w:rPr>
          <w:rFonts w:ascii="Times New Roman" w:eastAsia="Calibri" w:hAnsi="Times New Roman" w:cs="Times New Roman"/>
          <w:color w:val="000000"/>
        </w:rPr>
        <w:t>InNeurodegeneration</w:t>
      </w:r>
      <w:proofErr w:type="spellEnd"/>
      <w:r w:rsidRPr="001D1CDC">
        <w:rPr>
          <w:rFonts w:ascii="Times New Roman" w:eastAsia="Calibri" w:hAnsi="Times New Roman" w:cs="Times New Roman"/>
          <w:color w:val="000000"/>
        </w:rPr>
        <w:t xml:space="preserve"> 2026 Feb 5 (pp. 203-255). Apple Academic Press.</w:t>
      </w:r>
    </w:p>
    <w:p w14:paraId="64AD3699" w14:textId="78CDD366" w:rsidR="00A21FD8" w:rsidRDefault="00A21FD8" w:rsidP="00A21FD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A21FD8">
        <w:rPr>
          <w:rFonts w:ascii="Times New Roman" w:eastAsia="Calibri" w:hAnsi="Times New Roman" w:cs="Times New Roman"/>
          <w:b/>
          <w:color w:val="000000"/>
        </w:rPr>
        <w:t>Kalita</w:t>
      </w:r>
      <w:proofErr w:type="spellEnd"/>
      <w:r w:rsidRPr="00A21FD8">
        <w:rPr>
          <w:rFonts w:ascii="Times New Roman" w:eastAsia="Calibri" w:hAnsi="Times New Roman" w:cs="Times New Roman"/>
          <w:b/>
          <w:color w:val="000000"/>
        </w:rPr>
        <w:t xml:space="preserve"> T</w:t>
      </w:r>
      <w:r w:rsidRPr="00A21FD8">
        <w:rPr>
          <w:rFonts w:ascii="Times New Roman" w:eastAsia="Calibri" w:hAnsi="Times New Roman" w:cs="Times New Roman"/>
          <w:color w:val="000000"/>
        </w:rPr>
        <w:t xml:space="preserve">, Dutta S,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Shakya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A, Ghosh SK, Singh UP, Bhat HR. In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Silico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Study, Synthesis, and </w:t>
      </w:r>
      <w:proofErr w:type="gramStart"/>
      <w:r w:rsidRPr="00A21FD8">
        <w:rPr>
          <w:rFonts w:ascii="Times New Roman" w:eastAsia="Calibri" w:hAnsi="Times New Roman" w:cs="Times New Roman"/>
          <w:color w:val="000000"/>
        </w:rPr>
        <w:t>In</w:t>
      </w:r>
      <w:proofErr w:type="gramEnd"/>
      <w:r w:rsidRPr="00A21FD8">
        <w:rPr>
          <w:rFonts w:ascii="Times New Roman" w:eastAsia="Calibri" w:hAnsi="Times New Roman" w:cs="Times New Roman"/>
          <w:color w:val="000000"/>
        </w:rPr>
        <w:t xml:space="preserve"> Vitro Evaluation of Nicotinamide-Substituted 1, 3, 5-Triazine Derivatives as Inhibitors of Acetylcholinesterase and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Butyrylcholinesterase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. Journal of Molecular Structure. </w:t>
      </w:r>
      <w:proofErr w:type="gramStart"/>
      <w:r w:rsidRPr="00A21FD8">
        <w:rPr>
          <w:rFonts w:ascii="Times New Roman" w:eastAsia="Calibri" w:hAnsi="Times New Roman" w:cs="Times New Roman"/>
          <w:color w:val="000000"/>
        </w:rPr>
        <w:t>2025;1331:141577</w:t>
      </w:r>
      <w:proofErr w:type="gramEnd"/>
      <w:r w:rsidRPr="00A21FD8">
        <w:rPr>
          <w:rFonts w:ascii="Times New Roman" w:eastAsia="Calibri" w:hAnsi="Times New Roman" w:cs="Times New Roman"/>
          <w:color w:val="000000"/>
        </w:rPr>
        <w:t>.</w:t>
      </w:r>
    </w:p>
    <w:p w14:paraId="7F4517FC" w14:textId="69DAC742" w:rsidR="00A21FD8" w:rsidRDefault="00A21FD8" w:rsidP="00A21FD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A21FD8">
        <w:rPr>
          <w:rFonts w:ascii="Times New Roman" w:eastAsia="Calibri" w:hAnsi="Times New Roman" w:cs="Times New Roman"/>
          <w:color w:val="000000"/>
        </w:rPr>
        <w:t>Kushari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S,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Saha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D,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Kalita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JM, </w:t>
      </w:r>
      <w:proofErr w:type="spellStart"/>
      <w:r w:rsidRPr="00A21FD8">
        <w:rPr>
          <w:rFonts w:ascii="Times New Roman" w:eastAsia="Calibri" w:hAnsi="Times New Roman" w:cs="Times New Roman"/>
          <w:b/>
          <w:color w:val="000000"/>
        </w:rPr>
        <w:t>Kalita</w:t>
      </w:r>
      <w:proofErr w:type="spellEnd"/>
      <w:r w:rsidRPr="00A21FD8">
        <w:rPr>
          <w:rFonts w:ascii="Times New Roman" w:eastAsia="Calibri" w:hAnsi="Times New Roman" w:cs="Times New Roman"/>
          <w:b/>
          <w:color w:val="000000"/>
        </w:rPr>
        <w:t xml:space="preserve"> T</w:t>
      </w:r>
      <w:r w:rsidRPr="00A21FD8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Kalita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P, Chakraborty J, Kumar S, Das T,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Patowary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L. An insight of in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silico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and in vitro evaluation of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Catechins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and L-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theanine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from Camellia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sinensis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(L.) against Alzheimer’s disease targeting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cholinesterases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and β-secretase. In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Silico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Research in Biomedicine. 2025 Jun 4:100020</w:t>
      </w:r>
      <w:r>
        <w:rPr>
          <w:rFonts w:ascii="Times New Roman" w:eastAsia="Calibri" w:hAnsi="Times New Roman" w:cs="Times New Roman"/>
          <w:color w:val="000000"/>
        </w:rPr>
        <w:t>.</w:t>
      </w:r>
    </w:p>
    <w:p w14:paraId="091B284A" w14:textId="27710B33" w:rsidR="00510DFA" w:rsidRDefault="00510DFA" w:rsidP="00510DF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510DFA">
        <w:rPr>
          <w:rFonts w:ascii="Times New Roman" w:eastAsia="Calibri" w:hAnsi="Times New Roman" w:cs="Times New Roman"/>
          <w:color w:val="000000"/>
        </w:rPr>
        <w:t>Rynjah</w:t>
      </w:r>
      <w:proofErr w:type="spellEnd"/>
      <w:r w:rsidRPr="00510DFA">
        <w:rPr>
          <w:rFonts w:ascii="Times New Roman" w:eastAsia="Calibri" w:hAnsi="Times New Roman" w:cs="Times New Roman"/>
          <w:color w:val="000000"/>
        </w:rPr>
        <w:t xml:space="preserve"> D, </w:t>
      </w:r>
      <w:proofErr w:type="spellStart"/>
      <w:r w:rsidRPr="00510DFA">
        <w:rPr>
          <w:rFonts w:ascii="Times New Roman" w:eastAsia="Calibri" w:hAnsi="Times New Roman" w:cs="Times New Roman"/>
          <w:color w:val="000000"/>
        </w:rPr>
        <w:t>Sandhanam</w:t>
      </w:r>
      <w:proofErr w:type="spellEnd"/>
      <w:r w:rsidRPr="00510DFA">
        <w:rPr>
          <w:rFonts w:ascii="Times New Roman" w:eastAsia="Calibri" w:hAnsi="Times New Roman" w:cs="Times New Roman"/>
          <w:color w:val="000000"/>
        </w:rPr>
        <w:t xml:space="preserve"> K, </w:t>
      </w:r>
      <w:proofErr w:type="spellStart"/>
      <w:r w:rsidRPr="00510DFA">
        <w:rPr>
          <w:rFonts w:ascii="Times New Roman" w:eastAsia="Calibri" w:hAnsi="Times New Roman" w:cs="Times New Roman"/>
          <w:color w:val="000000"/>
        </w:rPr>
        <w:t>Bhattacharjee</w:t>
      </w:r>
      <w:proofErr w:type="spellEnd"/>
      <w:r w:rsidRPr="00510DFA">
        <w:rPr>
          <w:rFonts w:ascii="Times New Roman" w:eastAsia="Calibri" w:hAnsi="Times New Roman" w:cs="Times New Roman"/>
          <w:color w:val="000000"/>
        </w:rPr>
        <w:t xml:space="preserve"> B, </w:t>
      </w:r>
      <w:proofErr w:type="spellStart"/>
      <w:r w:rsidRPr="00510DFA">
        <w:rPr>
          <w:rFonts w:ascii="Times New Roman" w:eastAsia="Calibri" w:hAnsi="Times New Roman" w:cs="Times New Roman"/>
          <w:color w:val="000000"/>
        </w:rPr>
        <w:t>Deka</w:t>
      </w:r>
      <w:proofErr w:type="spellEnd"/>
      <w:r w:rsidRPr="00510DFA">
        <w:rPr>
          <w:rFonts w:ascii="Times New Roman" w:eastAsia="Calibri" w:hAnsi="Times New Roman" w:cs="Times New Roman"/>
          <w:color w:val="000000"/>
        </w:rPr>
        <w:t xml:space="preserve"> B, </w:t>
      </w:r>
      <w:proofErr w:type="spellStart"/>
      <w:r w:rsidRPr="00510DFA">
        <w:rPr>
          <w:rFonts w:ascii="Times New Roman" w:eastAsia="Calibri" w:hAnsi="Times New Roman" w:cs="Times New Roman"/>
          <w:color w:val="000000"/>
        </w:rPr>
        <w:t>Newar</w:t>
      </w:r>
      <w:proofErr w:type="spellEnd"/>
      <w:r w:rsidRPr="00510DFA">
        <w:rPr>
          <w:rFonts w:ascii="Times New Roman" w:eastAsia="Calibri" w:hAnsi="Times New Roman" w:cs="Times New Roman"/>
          <w:color w:val="000000"/>
        </w:rPr>
        <w:t xml:space="preserve"> A, </w:t>
      </w:r>
      <w:proofErr w:type="spellStart"/>
      <w:r w:rsidRPr="00510DFA">
        <w:rPr>
          <w:rFonts w:ascii="Times New Roman" w:eastAsia="Calibri" w:hAnsi="Times New Roman" w:cs="Times New Roman"/>
          <w:b/>
          <w:color w:val="000000"/>
        </w:rPr>
        <w:t>Kalita</w:t>
      </w:r>
      <w:proofErr w:type="spellEnd"/>
      <w:r w:rsidRPr="00510DFA">
        <w:rPr>
          <w:rFonts w:ascii="Times New Roman" w:eastAsia="Calibri" w:hAnsi="Times New Roman" w:cs="Times New Roman"/>
          <w:b/>
          <w:color w:val="000000"/>
        </w:rPr>
        <w:t xml:space="preserve"> T</w:t>
      </w:r>
      <w:r w:rsidRPr="00510DFA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510DFA">
        <w:rPr>
          <w:rFonts w:ascii="Times New Roman" w:eastAsia="Calibri" w:hAnsi="Times New Roman" w:cs="Times New Roman"/>
          <w:color w:val="000000"/>
        </w:rPr>
        <w:t>Nath</w:t>
      </w:r>
      <w:proofErr w:type="spellEnd"/>
      <w:r w:rsidRPr="00510DFA">
        <w:rPr>
          <w:rFonts w:ascii="Times New Roman" w:eastAsia="Calibri" w:hAnsi="Times New Roman" w:cs="Times New Roman"/>
          <w:color w:val="000000"/>
        </w:rPr>
        <w:t xml:space="preserve"> J, Ahmed AB, </w:t>
      </w:r>
      <w:proofErr w:type="spellStart"/>
      <w:r w:rsidRPr="00510DFA">
        <w:rPr>
          <w:rFonts w:ascii="Times New Roman" w:eastAsia="Calibri" w:hAnsi="Times New Roman" w:cs="Times New Roman"/>
          <w:color w:val="000000"/>
        </w:rPr>
        <w:t>Sahu</w:t>
      </w:r>
      <w:proofErr w:type="spellEnd"/>
      <w:r w:rsidRPr="00510DFA">
        <w:rPr>
          <w:rFonts w:ascii="Times New Roman" w:eastAsia="Calibri" w:hAnsi="Times New Roman" w:cs="Times New Roman"/>
          <w:color w:val="000000"/>
        </w:rPr>
        <w:t xml:space="preserve"> RK, Das T. CRISPR/Cas9 gene editing systems for enhancing secondary metabolite biosynthesis via reproductive tissue modification. Discover Plants. 2025 Aug 10;2(1):245.</w:t>
      </w:r>
    </w:p>
    <w:p w14:paraId="70375807" w14:textId="07A58538" w:rsidR="00A21FD8" w:rsidRDefault="00A21FD8" w:rsidP="00A21FD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A21FD8">
        <w:rPr>
          <w:rFonts w:ascii="Times New Roman" w:eastAsia="Calibri" w:hAnsi="Times New Roman" w:cs="Times New Roman"/>
          <w:color w:val="000000"/>
        </w:rPr>
        <w:t>Halimi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MM, Wu YS, Lee MF,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Kumarasamy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V, </w:t>
      </w:r>
      <w:proofErr w:type="spellStart"/>
      <w:r w:rsidRPr="00A21FD8">
        <w:rPr>
          <w:rFonts w:ascii="Times New Roman" w:eastAsia="Calibri" w:hAnsi="Times New Roman" w:cs="Times New Roman"/>
          <w:b/>
          <w:color w:val="000000"/>
        </w:rPr>
        <w:t>Kalita</w:t>
      </w:r>
      <w:proofErr w:type="spellEnd"/>
      <w:r w:rsidRPr="00A21FD8">
        <w:rPr>
          <w:rFonts w:ascii="Times New Roman" w:eastAsia="Calibri" w:hAnsi="Times New Roman" w:cs="Times New Roman"/>
          <w:b/>
          <w:color w:val="000000"/>
        </w:rPr>
        <w:t xml:space="preserve"> T</w:t>
      </w:r>
      <w:r w:rsidRPr="00A21FD8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Rajendran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K, Tan RW,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Fuloria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NK,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Sekar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M,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Subramaniyan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V.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Blastocystis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sp.: A Hidden Player in Gut Health and Disease. Progress </w:t>
      </w:r>
      <w:proofErr w:type="gramStart"/>
      <w:r w:rsidRPr="00A21FD8">
        <w:rPr>
          <w:rFonts w:ascii="Times New Roman" w:eastAsia="Calibri" w:hAnsi="Times New Roman" w:cs="Times New Roman"/>
          <w:color w:val="000000"/>
        </w:rPr>
        <w:t>In</w:t>
      </w:r>
      <w:proofErr w:type="gramEnd"/>
      <w:r w:rsidRPr="00A21FD8">
        <w:rPr>
          <w:rFonts w:ascii="Times New Roman" w:eastAsia="Calibri" w:hAnsi="Times New Roman" w:cs="Times New Roman"/>
          <w:color w:val="000000"/>
        </w:rPr>
        <w:t xml:space="preserve"> Microbes &amp; Molecular Biology. 2025 Sep 11;8(1).</w:t>
      </w:r>
    </w:p>
    <w:p w14:paraId="29C6480B" w14:textId="77777777" w:rsidR="00A21FD8" w:rsidRPr="00A21FD8" w:rsidRDefault="00A21FD8" w:rsidP="00A21FD8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color w:val="000000"/>
        </w:rPr>
      </w:pPr>
      <w:proofErr w:type="spellStart"/>
      <w:r w:rsidRPr="00A21FD8">
        <w:rPr>
          <w:rFonts w:ascii="Times New Roman" w:eastAsia="Calibri" w:hAnsi="Times New Roman" w:cs="Times New Roman"/>
          <w:color w:val="000000"/>
        </w:rPr>
        <w:t>Kalita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P, </w:t>
      </w:r>
      <w:proofErr w:type="spellStart"/>
      <w:r w:rsidRPr="00A21FD8">
        <w:rPr>
          <w:rFonts w:ascii="Times New Roman" w:eastAsia="Calibri" w:hAnsi="Times New Roman" w:cs="Times New Roman"/>
          <w:b/>
          <w:color w:val="000000"/>
        </w:rPr>
        <w:t>Kalita</w:t>
      </w:r>
      <w:proofErr w:type="spellEnd"/>
      <w:r w:rsidRPr="00A21FD8">
        <w:rPr>
          <w:rFonts w:ascii="Times New Roman" w:eastAsia="Calibri" w:hAnsi="Times New Roman" w:cs="Times New Roman"/>
          <w:b/>
          <w:color w:val="000000"/>
        </w:rPr>
        <w:t xml:space="preserve"> T</w:t>
      </w:r>
      <w:r w:rsidRPr="00A21FD8">
        <w:rPr>
          <w:rFonts w:ascii="Times New Roman" w:eastAsia="Calibri" w:hAnsi="Times New Roman" w:cs="Times New Roman"/>
          <w:color w:val="000000"/>
        </w:rPr>
        <w:t xml:space="preserve">, Bora NS, Roy PK,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Pachuau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L, Roy S. A review on natural polymer-based film/coating in postharvest mushroom preservation. Food Control. 2025 Jan 30:111185.</w:t>
      </w:r>
    </w:p>
    <w:p w14:paraId="461F0FF2" w14:textId="4AAB9CF5" w:rsidR="00A21FD8" w:rsidRDefault="00A21FD8" w:rsidP="00A21FD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A21FD8">
        <w:rPr>
          <w:rFonts w:ascii="Times New Roman" w:eastAsia="Calibri" w:hAnsi="Times New Roman" w:cs="Times New Roman"/>
          <w:color w:val="000000"/>
        </w:rPr>
        <w:t>Kushari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S, </w:t>
      </w:r>
      <w:proofErr w:type="spellStart"/>
      <w:r w:rsidRPr="00A21FD8">
        <w:rPr>
          <w:rFonts w:ascii="Times New Roman" w:eastAsia="Calibri" w:hAnsi="Times New Roman" w:cs="Times New Roman"/>
          <w:b/>
          <w:color w:val="000000"/>
        </w:rPr>
        <w:t>Kalita</w:t>
      </w:r>
      <w:proofErr w:type="spellEnd"/>
      <w:r w:rsidRPr="00A21FD8">
        <w:rPr>
          <w:rFonts w:ascii="Times New Roman" w:eastAsia="Calibri" w:hAnsi="Times New Roman" w:cs="Times New Roman"/>
          <w:b/>
          <w:color w:val="000000"/>
        </w:rPr>
        <w:t xml:space="preserve"> T</w:t>
      </w:r>
      <w:r w:rsidRPr="00A21FD8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Bharali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A,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Kalita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JM,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Laloo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D. Natural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terpenoids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>: exploring their antidiabetic potential and mechanism of action. Antidiabetic Drug Discovery from Natural Products. Elsevier; 2025. P. 109-51</w:t>
      </w:r>
      <w:r>
        <w:rPr>
          <w:rFonts w:ascii="Times New Roman" w:eastAsia="Calibri" w:hAnsi="Times New Roman" w:cs="Times New Roman"/>
          <w:color w:val="000000"/>
        </w:rPr>
        <w:t>.</w:t>
      </w:r>
    </w:p>
    <w:p w14:paraId="34B1422A" w14:textId="03F62CEE" w:rsidR="00A21FD8" w:rsidRDefault="00A21FD8" w:rsidP="00A21FD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r w:rsidRPr="00A21FD8">
        <w:rPr>
          <w:rFonts w:ascii="Times New Roman" w:eastAsia="Calibri" w:hAnsi="Times New Roman" w:cs="Times New Roman"/>
          <w:color w:val="000000"/>
        </w:rPr>
        <w:t xml:space="preserve">Siddiqui SA,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Srikanth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SP, Wu YS, </w:t>
      </w:r>
      <w:proofErr w:type="spellStart"/>
      <w:r w:rsidRPr="00A21FD8">
        <w:rPr>
          <w:rFonts w:ascii="Times New Roman" w:eastAsia="Calibri" w:hAnsi="Times New Roman" w:cs="Times New Roman"/>
          <w:b/>
          <w:color w:val="000000"/>
        </w:rPr>
        <w:t>Kalita</w:t>
      </w:r>
      <w:proofErr w:type="spellEnd"/>
      <w:r w:rsidRPr="00A21FD8">
        <w:rPr>
          <w:rFonts w:ascii="Times New Roman" w:eastAsia="Calibri" w:hAnsi="Times New Roman" w:cs="Times New Roman"/>
          <w:b/>
          <w:color w:val="000000"/>
        </w:rPr>
        <w:t xml:space="preserve"> T</w:t>
      </w:r>
      <w:r w:rsidRPr="00A21FD8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Ambartsumov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TG, Tseng W, Kumar AP, Ahmad A, </w:t>
      </w:r>
      <w:proofErr w:type="spellStart"/>
      <w:r w:rsidRPr="00A21FD8">
        <w:rPr>
          <w:rFonts w:ascii="Times New Roman" w:eastAsia="Calibri" w:hAnsi="Times New Roman" w:cs="Times New Roman"/>
          <w:color w:val="000000"/>
        </w:rPr>
        <w:t>Michalek</w:t>
      </w:r>
      <w:proofErr w:type="spellEnd"/>
      <w:r w:rsidRPr="00A21FD8">
        <w:rPr>
          <w:rFonts w:ascii="Times New Roman" w:eastAsia="Calibri" w:hAnsi="Times New Roman" w:cs="Times New Roman"/>
          <w:color w:val="000000"/>
        </w:rPr>
        <w:t xml:space="preserve"> JE. Different types of algae beneficial for bone health in animals and in humans–A review. Algal Research. </w:t>
      </w:r>
      <w:proofErr w:type="gramStart"/>
      <w:r w:rsidRPr="00A21FD8">
        <w:rPr>
          <w:rFonts w:ascii="Times New Roman" w:eastAsia="Calibri" w:hAnsi="Times New Roman" w:cs="Times New Roman"/>
          <w:color w:val="000000"/>
        </w:rPr>
        <w:t>2024;82:103593</w:t>
      </w:r>
      <w:proofErr w:type="gramEnd"/>
      <w:r>
        <w:rPr>
          <w:rFonts w:ascii="Times New Roman" w:eastAsia="Calibri" w:hAnsi="Times New Roman" w:cs="Times New Roman"/>
          <w:color w:val="000000"/>
        </w:rPr>
        <w:t>.</w:t>
      </w:r>
    </w:p>
    <w:p w14:paraId="22E38487" w14:textId="4A31699B" w:rsidR="00E35D76" w:rsidRDefault="00E35D76" w:rsidP="00E35D7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r w:rsidRPr="00E35D76">
        <w:rPr>
          <w:rFonts w:ascii="Times New Roman" w:eastAsia="Calibri" w:hAnsi="Times New Roman" w:cs="Times New Roman"/>
          <w:color w:val="000000"/>
        </w:rPr>
        <w:lastRenderedPageBreak/>
        <w:t xml:space="preserve">Siddiqui, S. A., </w:t>
      </w:r>
      <w:proofErr w:type="spellStart"/>
      <w:r w:rsidRPr="00E35D76">
        <w:rPr>
          <w:rFonts w:ascii="Times New Roman" w:eastAsia="Calibri" w:hAnsi="Times New Roman" w:cs="Times New Roman"/>
          <w:color w:val="000000"/>
        </w:rPr>
        <w:t>Ngah</w:t>
      </w:r>
      <w:proofErr w:type="spellEnd"/>
      <w:r w:rsidRPr="00E35D76">
        <w:rPr>
          <w:rFonts w:ascii="Times New Roman" w:eastAsia="Calibri" w:hAnsi="Times New Roman" w:cs="Times New Roman"/>
          <w:color w:val="000000"/>
        </w:rPr>
        <w:t xml:space="preserve">, N., Wu, Y. S., </w:t>
      </w:r>
      <w:proofErr w:type="spellStart"/>
      <w:r w:rsidRPr="00E35D76">
        <w:rPr>
          <w:rFonts w:ascii="Times New Roman" w:eastAsia="Calibri" w:hAnsi="Times New Roman" w:cs="Times New Roman"/>
          <w:b/>
          <w:color w:val="000000"/>
        </w:rPr>
        <w:t>Kalita</w:t>
      </w:r>
      <w:proofErr w:type="spellEnd"/>
      <w:r w:rsidRPr="00E35D76">
        <w:rPr>
          <w:rFonts w:ascii="Times New Roman" w:eastAsia="Calibri" w:hAnsi="Times New Roman" w:cs="Times New Roman"/>
          <w:b/>
          <w:color w:val="000000"/>
        </w:rPr>
        <w:t>, T.,</w:t>
      </w:r>
      <w:r w:rsidRPr="00E35D76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35D76">
        <w:rPr>
          <w:rFonts w:ascii="Times New Roman" w:eastAsia="Calibri" w:hAnsi="Times New Roman" w:cs="Times New Roman"/>
          <w:color w:val="000000"/>
        </w:rPr>
        <w:t>Yudhistira</w:t>
      </w:r>
      <w:proofErr w:type="spellEnd"/>
      <w:r w:rsidRPr="00E35D76">
        <w:rPr>
          <w:rFonts w:ascii="Times New Roman" w:eastAsia="Calibri" w:hAnsi="Times New Roman" w:cs="Times New Roman"/>
          <w:color w:val="000000"/>
        </w:rPr>
        <w:t>, B., &amp; Ibrahim, S. A. (2024). Lab-grown insect meat–Chemical and biological insights–A comprehensive review. Journal of Insects as Food and Feed, 1(</w:t>
      </w:r>
      <w:proofErr w:type="spellStart"/>
      <w:r w:rsidRPr="00E35D76">
        <w:rPr>
          <w:rFonts w:ascii="Times New Roman" w:eastAsia="Calibri" w:hAnsi="Times New Roman" w:cs="Times New Roman"/>
          <w:color w:val="000000"/>
        </w:rPr>
        <w:t>aop</w:t>
      </w:r>
      <w:proofErr w:type="spellEnd"/>
      <w:r w:rsidRPr="00E35D76">
        <w:rPr>
          <w:rFonts w:ascii="Times New Roman" w:eastAsia="Calibri" w:hAnsi="Times New Roman" w:cs="Times New Roman"/>
          <w:color w:val="000000"/>
        </w:rPr>
        <w:t>), 1-28.</w:t>
      </w:r>
    </w:p>
    <w:p w14:paraId="2B013913" w14:textId="0FE58B0C" w:rsidR="002329A8" w:rsidRDefault="002329A8" w:rsidP="002329A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2329A8">
        <w:rPr>
          <w:rFonts w:ascii="Times New Roman" w:eastAsia="Calibri" w:hAnsi="Times New Roman" w:cs="Times New Roman"/>
          <w:b/>
          <w:color w:val="000000"/>
        </w:rPr>
        <w:t>Kalita</w:t>
      </w:r>
      <w:proofErr w:type="spellEnd"/>
      <w:r w:rsidRPr="002329A8">
        <w:rPr>
          <w:rFonts w:ascii="Times New Roman" w:eastAsia="Calibri" w:hAnsi="Times New Roman" w:cs="Times New Roman"/>
          <w:b/>
          <w:color w:val="000000"/>
        </w:rPr>
        <w:t>, T.,</w:t>
      </w:r>
      <w:r w:rsidRPr="002329A8">
        <w:rPr>
          <w:rFonts w:ascii="Times New Roman" w:eastAsia="Calibri" w:hAnsi="Times New Roman" w:cs="Times New Roman"/>
          <w:color w:val="000000"/>
        </w:rPr>
        <w:t xml:space="preserve"> Choudhury, A., </w:t>
      </w:r>
      <w:proofErr w:type="spellStart"/>
      <w:r w:rsidRPr="002329A8">
        <w:rPr>
          <w:rFonts w:ascii="Times New Roman" w:eastAsia="Calibri" w:hAnsi="Times New Roman" w:cs="Times New Roman"/>
          <w:color w:val="000000"/>
        </w:rPr>
        <w:t>Shakya</w:t>
      </w:r>
      <w:proofErr w:type="spellEnd"/>
      <w:r w:rsidRPr="002329A8">
        <w:rPr>
          <w:rFonts w:ascii="Times New Roman" w:eastAsia="Calibri" w:hAnsi="Times New Roman" w:cs="Times New Roman"/>
          <w:color w:val="000000"/>
        </w:rPr>
        <w:t xml:space="preserve">, A., Ghosh, S., Singh, U. P., &amp; Bhat, H. R. (2024). A Review on Synthetic </w:t>
      </w:r>
      <w:proofErr w:type="spellStart"/>
      <w:r w:rsidRPr="002329A8">
        <w:rPr>
          <w:rFonts w:ascii="Times New Roman" w:eastAsia="Calibri" w:hAnsi="Times New Roman" w:cs="Times New Roman"/>
          <w:color w:val="000000"/>
        </w:rPr>
        <w:t>Thiazole</w:t>
      </w:r>
      <w:proofErr w:type="spellEnd"/>
      <w:r w:rsidRPr="002329A8">
        <w:rPr>
          <w:rFonts w:ascii="Times New Roman" w:eastAsia="Calibri" w:hAnsi="Times New Roman" w:cs="Times New Roman"/>
          <w:color w:val="000000"/>
        </w:rPr>
        <w:t xml:space="preserve"> Derivatives as an Antimalarial Agent. Current Drug Discovery Technologies.</w:t>
      </w:r>
      <w:r w:rsidR="00510DFA">
        <w:rPr>
          <w:rFonts w:ascii="Times New Roman" w:eastAsia="Calibri" w:hAnsi="Times New Roman" w:cs="Times New Roman"/>
          <w:color w:val="000000"/>
        </w:rPr>
        <w:t xml:space="preserve"> Bentham Science.</w:t>
      </w:r>
    </w:p>
    <w:p w14:paraId="742A25F5" w14:textId="4054DB11" w:rsidR="00510DFA" w:rsidRDefault="00510DFA" w:rsidP="00510DF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510DFA">
        <w:rPr>
          <w:rFonts w:ascii="Times New Roman" w:eastAsia="Calibri" w:hAnsi="Times New Roman" w:cs="Times New Roman"/>
          <w:color w:val="000000"/>
        </w:rPr>
        <w:t>Saikia</w:t>
      </w:r>
      <w:proofErr w:type="spellEnd"/>
      <w:r w:rsidRPr="00510DFA">
        <w:rPr>
          <w:rFonts w:ascii="Times New Roman" w:eastAsia="Calibri" w:hAnsi="Times New Roman" w:cs="Times New Roman"/>
          <w:color w:val="000000"/>
        </w:rPr>
        <w:t xml:space="preserve"> T, </w:t>
      </w:r>
      <w:proofErr w:type="spellStart"/>
      <w:r w:rsidRPr="00510DFA">
        <w:rPr>
          <w:rFonts w:ascii="Times New Roman" w:eastAsia="Calibri" w:hAnsi="Times New Roman" w:cs="Times New Roman"/>
          <w:color w:val="000000"/>
        </w:rPr>
        <w:t>Khanam</w:t>
      </w:r>
      <w:proofErr w:type="spellEnd"/>
      <w:r w:rsidRPr="00510DFA">
        <w:rPr>
          <w:rFonts w:ascii="Times New Roman" w:eastAsia="Calibri" w:hAnsi="Times New Roman" w:cs="Times New Roman"/>
          <w:color w:val="000000"/>
        </w:rPr>
        <w:t xml:space="preserve"> A, Ahmed N, </w:t>
      </w:r>
      <w:proofErr w:type="spellStart"/>
      <w:r w:rsidRPr="00510DFA">
        <w:rPr>
          <w:rFonts w:ascii="Times New Roman" w:eastAsia="Calibri" w:hAnsi="Times New Roman" w:cs="Times New Roman"/>
          <w:color w:val="000000"/>
        </w:rPr>
        <w:t>Bharali</w:t>
      </w:r>
      <w:proofErr w:type="spellEnd"/>
      <w:r w:rsidRPr="00510DFA">
        <w:rPr>
          <w:rFonts w:ascii="Times New Roman" w:eastAsia="Calibri" w:hAnsi="Times New Roman" w:cs="Times New Roman"/>
          <w:color w:val="000000"/>
        </w:rPr>
        <w:t xml:space="preserve"> A, </w:t>
      </w:r>
      <w:proofErr w:type="spellStart"/>
      <w:r w:rsidRPr="00510DFA">
        <w:rPr>
          <w:rFonts w:ascii="Times New Roman" w:eastAsia="Calibri" w:hAnsi="Times New Roman" w:cs="Times New Roman"/>
          <w:b/>
          <w:color w:val="000000"/>
        </w:rPr>
        <w:t>Kalita</w:t>
      </w:r>
      <w:proofErr w:type="spellEnd"/>
      <w:r w:rsidRPr="00510DFA">
        <w:rPr>
          <w:rFonts w:ascii="Times New Roman" w:eastAsia="Calibri" w:hAnsi="Times New Roman" w:cs="Times New Roman"/>
          <w:b/>
          <w:color w:val="000000"/>
        </w:rPr>
        <w:t xml:space="preserve"> T</w:t>
      </w:r>
      <w:r w:rsidRPr="00510DFA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510DFA">
        <w:rPr>
          <w:rFonts w:ascii="Times New Roman" w:eastAsia="Calibri" w:hAnsi="Times New Roman" w:cs="Times New Roman"/>
          <w:color w:val="000000"/>
        </w:rPr>
        <w:t>Rajak</w:t>
      </w:r>
      <w:proofErr w:type="spellEnd"/>
      <w:r w:rsidRPr="00510DFA">
        <w:rPr>
          <w:rFonts w:ascii="Times New Roman" w:eastAsia="Calibri" w:hAnsi="Times New Roman" w:cs="Times New Roman"/>
          <w:color w:val="000000"/>
        </w:rPr>
        <w:t xml:space="preserve"> P, </w:t>
      </w:r>
      <w:proofErr w:type="spellStart"/>
      <w:r w:rsidRPr="00510DFA">
        <w:rPr>
          <w:rFonts w:ascii="Times New Roman" w:eastAsia="Calibri" w:hAnsi="Times New Roman" w:cs="Times New Roman"/>
          <w:color w:val="000000"/>
        </w:rPr>
        <w:t>Sahu</w:t>
      </w:r>
      <w:proofErr w:type="spellEnd"/>
      <w:r w:rsidRPr="00510DFA">
        <w:rPr>
          <w:rFonts w:ascii="Times New Roman" w:eastAsia="Calibri" w:hAnsi="Times New Roman" w:cs="Times New Roman"/>
          <w:color w:val="000000"/>
        </w:rPr>
        <w:t xml:space="preserve"> BP, </w:t>
      </w:r>
      <w:proofErr w:type="spellStart"/>
      <w:r w:rsidRPr="00510DFA">
        <w:rPr>
          <w:rFonts w:ascii="Times New Roman" w:eastAsia="Calibri" w:hAnsi="Times New Roman" w:cs="Times New Roman"/>
          <w:color w:val="000000"/>
        </w:rPr>
        <w:t>Patowary</w:t>
      </w:r>
      <w:proofErr w:type="spellEnd"/>
      <w:r w:rsidRPr="00510DFA">
        <w:rPr>
          <w:rFonts w:ascii="Times New Roman" w:eastAsia="Calibri" w:hAnsi="Times New Roman" w:cs="Times New Roman"/>
          <w:color w:val="000000"/>
        </w:rPr>
        <w:t xml:space="preserve"> L. Disrupting Tumour Niches: Advanced Strategies for Targeting the Tumour Microenvironment in Cancer Therapy.</w:t>
      </w:r>
      <w:r>
        <w:rPr>
          <w:rFonts w:ascii="Times New Roman" w:eastAsia="Calibri" w:hAnsi="Times New Roman" w:cs="Times New Roman"/>
          <w:color w:val="000000"/>
        </w:rPr>
        <w:t xml:space="preserve"> Bentham Science. 2024.</w:t>
      </w:r>
    </w:p>
    <w:p w14:paraId="01CF8FCF" w14:textId="736EED29" w:rsidR="002329A8" w:rsidRDefault="002329A8" w:rsidP="002329A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2329A8">
        <w:rPr>
          <w:rFonts w:ascii="Times New Roman" w:eastAsia="Calibri" w:hAnsi="Times New Roman" w:cs="Times New Roman"/>
          <w:color w:val="000000"/>
        </w:rPr>
        <w:t>Chavda</w:t>
      </w:r>
      <w:proofErr w:type="spellEnd"/>
      <w:r w:rsidRPr="002329A8">
        <w:rPr>
          <w:rFonts w:ascii="Times New Roman" w:eastAsia="Calibri" w:hAnsi="Times New Roman" w:cs="Times New Roman"/>
          <w:color w:val="000000"/>
        </w:rPr>
        <w:t xml:space="preserve">, V. P., Luo, G., </w:t>
      </w:r>
      <w:proofErr w:type="spellStart"/>
      <w:r w:rsidRPr="002329A8">
        <w:rPr>
          <w:rFonts w:ascii="Times New Roman" w:eastAsia="Calibri" w:hAnsi="Times New Roman" w:cs="Times New Roman"/>
          <w:color w:val="000000"/>
        </w:rPr>
        <w:t>Bezbaruah</w:t>
      </w:r>
      <w:proofErr w:type="spellEnd"/>
      <w:r w:rsidRPr="002329A8">
        <w:rPr>
          <w:rFonts w:ascii="Times New Roman" w:eastAsia="Calibri" w:hAnsi="Times New Roman" w:cs="Times New Roman"/>
          <w:color w:val="000000"/>
        </w:rPr>
        <w:t xml:space="preserve">, R., </w:t>
      </w:r>
      <w:proofErr w:type="spellStart"/>
      <w:r w:rsidRPr="002329A8">
        <w:rPr>
          <w:rFonts w:ascii="Times New Roman" w:eastAsia="Calibri" w:hAnsi="Times New Roman" w:cs="Times New Roman"/>
          <w:b/>
          <w:color w:val="000000"/>
        </w:rPr>
        <w:t>Kalita</w:t>
      </w:r>
      <w:proofErr w:type="spellEnd"/>
      <w:r w:rsidRPr="002329A8">
        <w:rPr>
          <w:rFonts w:ascii="Times New Roman" w:eastAsia="Calibri" w:hAnsi="Times New Roman" w:cs="Times New Roman"/>
          <w:b/>
          <w:color w:val="000000"/>
        </w:rPr>
        <w:t>, T.,</w:t>
      </w:r>
      <w:r w:rsidRPr="002329A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329A8">
        <w:rPr>
          <w:rFonts w:ascii="Times New Roman" w:eastAsia="Calibri" w:hAnsi="Times New Roman" w:cs="Times New Roman"/>
          <w:color w:val="000000"/>
        </w:rPr>
        <w:t>Sarma</w:t>
      </w:r>
      <w:proofErr w:type="spellEnd"/>
      <w:r w:rsidRPr="002329A8">
        <w:rPr>
          <w:rFonts w:ascii="Times New Roman" w:eastAsia="Calibri" w:hAnsi="Times New Roman" w:cs="Times New Roman"/>
          <w:color w:val="000000"/>
        </w:rPr>
        <w:t xml:space="preserve">, A., </w:t>
      </w:r>
      <w:proofErr w:type="spellStart"/>
      <w:r w:rsidRPr="002329A8">
        <w:rPr>
          <w:rFonts w:ascii="Times New Roman" w:eastAsia="Calibri" w:hAnsi="Times New Roman" w:cs="Times New Roman"/>
          <w:color w:val="000000"/>
        </w:rPr>
        <w:t>Deka</w:t>
      </w:r>
      <w:proofErr w:type="spellEnd"/>
      <w:r w:rsidRPr="002329A8">
        <w:rPr>
          <w:rFonts w:ascii="Times New Roman" w:eastAsia="Calibri" w:hAnsi="Times New Roman" w:cs="Times New Roman"/>
          <w:color w:val="000000"/>
        </w:rPr>
        <w:t xml:space="preserve">, G., ... &amp; </w:t>
      </w:r>
      <w:proofErr w:type="spellStart"/>
      <w:r w:rsidRPr="002329A8">
        <w:rPr>
          <w:rFonts w:ascii="Times New Roman" w:eastAsia="Calibri" w:hAnsi="Times New Roman" w:cs="Times New Roman"/>
          <w:color w:val="000000"/>
        </w:rPr>
        <w:t>Postwala</w:t>
      </w:r>
      <w:proofErr w:type="spellEnd"/>
      <w:r w:rsidRPr="002329A8">
        <w:rPr>
          <w:rFonts w:ascii="Times New Roman" w:eastAsia="Calibri" w:hAnsi="Times New Roman" w:cs="Times New Roman"/>
          <w:color w:val="000000"/>
        </w:rPr>
        <w:t>, H. (2024). Unveiling the promise: Exosomes as game‐changers in anti‐infective therapy. In Exploration (p. 20230139).</w:t>
      </w:r>
    </w:p>
    <w:p w14:paraId="0E383228" w14:textId="66B501FB" w:rsidR="00E35D76" w:rsidRPr="002329A8" w:rsidRDefault="006E091A" w:rsidP="002329A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>
        <w:rPr>
          <w:rFonts w:ascii="Times New Roman" w:eastAsia="Calibri" w:hAnsi="Times New Roman" w:cs="Times New Roman"/>
          <w:color w:val="000000"/>
        </w:rPr>
        <w:t>Saikia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, T., </w:t>
      </w:r>
      <w:proofErr w:type="spellStart"/>
      <w:r w:rsidRPr="006E091A">
        <w:rPr>
          <w:rFonts w:ascii="Times New Roman" w:eastAsia="Calibri" w:hAnsi="Times New Roman" w:cs="Times New Roman"/>
          <w:b/>
          <w:color w:val="000000"/>
        </w:rPr>
        <w:t>Kalita</w:t>
      </w:r>
      <w:proofErr w:type="spellEnd"/>
      <w:r w:rsidRPr="006E091A">
        <w:rPr>
          <w:rFonts w:ascii="Times New Roman" w:eastAsia="Calibri" w:hAnsi="Times New Roman" w:cs="Times New Roman"/>
          <w:b/>
          <w:color w:val="000000"/>
        </w:rPr>
        <w:t>, T.</w:t>
      </w:r>
      <w:r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</w:rPr>
        <w:t>Sahu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, B. P., </w:t>
      </w:r>
      <w:proofErr w:type="spellStart"/>
      <w:r>
        <w:rPr>
          <w:rFonts w:ascii="Times New Roman" w:eastAsia="Calibri" w:hAnsi="Times New Roman" w:cs="Times New Roman"/>
          <w:color w:val="000000"/>
        </w:rPr>
        <w:t>Rajak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, P., </w:t>
      </w:r>
      <w:proofErr w:type="spellStart"/>
      <w:r>
        <w:rPr>
          <w:rFonts w:ascii="Times New Roman" w:eastAsia="Calibri" w:hAnsi="Times New Roman" w:cs="Times New Roman"/>
          <w:color w:val="000000"/>
        </w:rPr>
        <w:t>Deka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B., </w:t>
      </w:r>
      <w:proofErr w:type="spellStart"/>
      <w:r>
        <w:rPr>
          <w:rFonts w:ascii="Times New Roman" w:eastAsia="Calibri" w:hAnsi="Times New Roman" w:cs="Times New Roman"/>
          <w:color w:val="000000"/>
        </w:rPr>
        <w:t>Bharali</w:t>
      </w:r>
      <w:proofErr w:type="spellEnd"/>
      <w:r>
        <w:rPr>
          <w:rFonts w:ascii="Times New Roman" w:eastAsia="Calibri" w:hAnsi="Times New Roman" w:cs="Times New Roman"/>
          <w:color w:val="000000"/>
        </w:rPr>
        <w:t>, A. Chapter: Mechanistic aspects of Neurodegeneration in Alzheimer’s disease and the role of Phytochemicals. In: Computation and Experimental Studies in Alzheimer’s Disease. 1</w:t>
      </w:r>
      <w:r w:rsidRPr="006E091A">
        <w:rPr>
          <w:rFonts w:ascii="Times New Roman" w:eastAsia="Calibri" w:hAnsi="Times New Roman" w:cs="Times New Roman"/>
          <w:color w:val="000000"/>
          <w:vertAlign w:val="superscript"/>
        </w:rPr>
        <w:t>st</w:t>
      </w:r>
      <w:r>
        <w:rPr>
          <w:rFonts w:ascii="Times New Roman" w:eastAsia="Calibri" w:hAnsi="Times New Roman" w:cs="Times New Roman"/>
          <w:color w:val="000000"/>
        </w:rPr>
        <w:t xml:space="preserve"> Edition. CRC Press, Taylor &amp; Francis Group. 2024.</w:t>
      </w:r>
    </w:p>
    <w:p w14:paraId="51CD36D9" w14:textId="6254A18E" w:rsidR="00623E70" w:rsidRDefault="00623E70" w:rsidP="009847D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>
        <w:rPr>
          <w:rFonts w:ascii="Times New Roman" w:eastAsia="Calibri" w:hAnsi="Times New Roman" w:cs="Times New Roman"/>
          <w:color w:val="000000"/>
        </w:rPr>
        <w:t>Nongrang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, L., </w:t>
      </w:r>
      <w:proofErr w:type="spellStart"/>
      <w:r>
        <w:rPr>
          <w:rFonts w:ascii="Times New Roman" w:eastAsia="Calibri" w:hAnsi="Times New Roman" w:cs="Times New Roman"/>
          <w:color w:val="000000"/>
        </w:rPr>
        <w:t>Bezbaruah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, R., </w:t>
      </w:r>
      <w:proofErr w:type="spellStart"/>
      <w:r w:rsidRPr="00FE525A">
        <w:rPr>
          <w:rFonts w:ascii="Times New Roman" w:eastAsia="Calibri" w:hAnsi="Times New Roman" w:cs="Times New Roman"/>
          <w:b/>
          <w:color w:val="000000"/>
        </w:rPr>
        <w:t>Kalita</w:t>
      </w:r>
      <w:proofErr w:type="spellEnd"/>
      <w:r w:rsidRPr="00FE525A">
        <w:rPr>
          <w:rFonts w:ascii="Times New Roman" w:eastAsia="Calibri" w:hAnsi="Times New Roman" w:cs="Times New Roman"/>
          <w:b/>
          <w:color w:val="000000"/>
        </w:rPr>
        <w:t>, T.,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Deka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, K., </w:t>
      </w:r>
      <w:proofErr w:type="spellStart"/>
      <w:r>
        <w:rPr>
          <w:rFonts w:ascii="Times New Roman" w:eastAsia="Calibri" w:hAnsi="Times New Roman" w:cs="Times New Roman"/>
          <w:color w:val="000000"/>
        </w:rPr>
        <w:t>Gogoi</w:t>
      </w:r>
      <w:proofErr w:type="spellEnd"/>
      <w:r>
        <w:rPr>
          <w:rFonts w:ascii="Times New Roman" w:eastAsia="Calibri" w:hAnsi="Times New Roman" w:cs="Times New Roman"/>
          <w:color w:val="000000"/>
        </w:rPr>
        <w:t>, B., Sadhu, P. Chapter 5: Global Impact of Delta and Omicron Variants of SARS-CoV-2.</w:t>
      </w:r>
      <w:r w:rsidR="00FE525A">
        <w:rPr>
          <w:rFonts w:ascii="Times New Roman" w:eastAsia="Calibri" w:hAnsi="Times New Roman" w:cs="Times New Roman"/>
          <w:color w:val="000000"/>
        </w:rPr>
        <w:t xml:space="preserve"> SARS-CoV-2 Variants and Global Population Vulnerability. CRC Press, Taylor &amp; Francis Group. 2024.</w:t>
      </w:r>
    </w:p>
    <w:p w14:paraId="0C90726F" w14:textId="3C52DBF6" w:rsidR="009847D5" w:rsidRPr="00BA4CA6" w:rsidRDefault="009847D5" w:rsidP="009847D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BA4CA6">
        <w:rPr>
          <w:rFonts w:ascii="Times New Roman" w:eastAsia="Calibri" w:hAnsi="Times New Roman" w:cs="Times New Roman"/>
          <w:color w:val="000000"/>
        </w:rPr>
        <w:t>Bezbaruah</w:t>
      </w:r>
      <w:proofErr w:type="spellEnd"/>
      <w:r w:rsidRPr="00BA4CA6">
        <w:rPr>
          <w:rFonts w:ascii="Times New Roman" w:eastAsia="Calibri" w:hAnsi="Times New Roman" w:cs="Times New Roman"/>
          <w:color w:val="000000"/>
        </w:rPr>
        <w:t xml:space="preserve">, R., </w:t>
      </w:r>
      <w:proofErr w:type="spellStart"/>
      <w:r w:rsidRPr="00BA4CA6">
        <w:rPr>
          <w:rFonts w:ascii="Times New Roman" w:eastAsia="Calibri" w:hAnsi="Times New Roman" w:cs="Times New Roman"/>
          <w:color w:val="000000"/>
        </w:rPr>
        <w:t>Chavda</w:t>
      </w:r>
      <w:proofErr w:type="spellEnd"/>
      <w:r w:rsidRPr="00BA4CA6">
        <w:rPr>
          <w:rFonts w:ascii="Times New Roman" w:eastAsia="Calibri" w:hAnsi="Times New Roman" w:cs="Times New Roman"/>
          <w:color w:val="000000"/>
        </w:rPr>
        <w:t xml:space="preserve">, V. P., </w:t>
      </w:r>
      <w:proofErr w:type="spellStart"/>
      <w:r w:rsidRPr="00BA4CA6">
        <w:rPr>
          <w:rFonts w:ascii="Times New Roman" w:eastAsia="Calibri" w:hAnsi="Times New Roman" w:cs="Times New Roman"/>
          <w:color w:val="000000"/>
        </w:rPr>
        <w:t>Nongrang</w:t>
      </w:r>
      <w:proofErr w:type="spellEnd"/>
      <w:r w:rsidRPr="00BA4CA6">
        <w:rPr>
          <w:rFonts w:ascii="Times New Roman" w:eastAsia="Calibri" w:hAnsi="Times New Roman" w:cs="Times New Roman"/>
          <w:color w:val="000000"/>
        </w:rPr>
        <w:t xml:space="preserve">, L., </w:t>
      </w:r>
      <w:proofErr w:type="spellStart"/>
      <w:r w:rsidRPr="00BA4CA6">
        <w:rPr>
          <w:rFonts w:ascii="Times New Roman" w:eastAsia="Calibri" w:hAnsi="Times New Roman" w:cs="Times New Roman"/>
          <w:color w:val="000000"/>
        </w:rPr>
        <w:t>Alom</w:t>
      </w:r>
      <w:proofErr w:type="spellEnd"/>
      <w:r w:rsidRPr="00BA4CA6">
        <w:rPr>
          <w:rFonts w:ascii="Times New Roman" w:eastAsia="Calibri" w:hAnsi="Times New Roman" w:cs="Times New Roman"/>
          <w:color w:val="000000"/>
        </w:rPr>
        <w:t xml:space="preserve">, S., </w:t>
      </w:r>
      <w:proofErr w:type="spellStart"/>
      <w:r w:rsidRPr="00BA4CA6">
        <w:rPr>
          <w:rFonts w:ascii="Times New Roman" w:eastAsia="Calibri" w:hAnsi="Times New Roman" w:cs="Times New Roman"/>
          <w:color w:val="000000"/>
        </w:rPr>
        <w:t>Deka</w:t>
      </w:r>
      <w:proofErr w:type="spellEnd"/>
      <w:r w:rsidRPr="00BA4CA6">
        <w:rPr>
          <w:rFonts w:ascii="Times New Roman" w:eastAsia="Calibri" w:hAnsi="Times New Roman" w:cs="Times New Roman"/>
          <w:color w:val="000000"/>
        </w:rPr>
        <w:t xml:space="preserve">, K., </w:t>
      </w:r>
      <w:proofErr w:type="spellStart"/>
      <w:r w:rsidRPr="00FE525A">
        <w:rPr>
          <w:rFonts w:ascii="Times New Roman" w:eastAsia="Calibri" w:hAnsi="Times New Roman" w:cs="Times New Roman"/>
          <w:b/>
          <w:color w:val="000000"/>
        </w:rPr>
        <w:t>Kalita</w:t>
      </w:r>
      <w:proofErr w:type="spellEnd"/>
      <w:r w:rsidRPr="00FE525A">
        <w:rPr>
          <w:rFonts w:ascii="Times New Roman" w:eastAsia="Calibri" w:hAnsi="Times New Roman" w:cs="Times New Roman"/>
          <w:b/>
          <w:color w:val="000000"/>
        </w:rPr>
        <w:t xml:space="preserve">, T., </w:t>
      </w:r>
      <w:r w:rsidRPr="00BA4CA6">
        <w:rPr>
          <w:rFonts w:ascii="Times New Roman" w:eastAsia="Calibri" w:hAnsi="Times New Roman" w:cs="Times New Roman"/>
          <w:color w:val="000000"/>
        </w:rPr>
        <w:t xml:space="preserve">... &amp; </w:t>
      </w:r>
      <w:proofErr w:type="spellStart"/>
      <w:r w:rsidRPr="00BA4CA6">
        <w:rPr>
          <w:rFonts w:ascii="Times New Roman" w:eastAsia="Calibri" w:hAnsi="Times New Roman" w:cs="Times New Roman"/>
          <w:color w:val="000000"/>
        </w:rPr>
        <w:t>Vora</w:t>
      </w:r>
      <w:proofErr w:type="spellEnd"/>
      <w:r w:rsidRPr="00BA4CA6">
        <w:rPr>
          <w:rFonts w:ascii="Times New Roman" w:eastAsia="Calibri" w:hAnsi="Times New Roman" w:cs="Times New Roman"/>
          <w:color w:val="000000"/>
        </w:rPr>
        <w:t>, L. (2022). Nanoparticle-Based Delivery Systems for Vaccines. Vaccines, 10(11), 1946.</w:t>
      </w:r>
    </w:p>
    <w:p w14:paraId="7EEE1C6C" w14:textId="6947195E" w:rsidR="009847D5" w:rsidRPr="00BA4CA6" w:rsidRDefault="009847D5" w:rsidP="009847D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BA4CA6">
        <w:rPr>
          <w:rFonts w:ascii="Times New Roman" w:eastAsia="Calibri" w:hAnsi="Times New Roman" w:cs="Times New Roman"/>
          <w:color w:val="000000"/>
        </w:rPr>
        <w:t>Chavda</w:t>
      </w:r>
      <w:proofErr w:type="spellEnd"/>
      <w:r w:rsidRPr="00BA4CA6">
        <w:rPr>
          <w:rFonts w:ascii="Times New Roman" w:eastAsia="Calibri" w:hAnsi="Times New Roman" w:cs="Times New Roman"/>
          <w:color w:val="000000"/>
        </w:rPr>
        <w:t xml:space="preserve">, V. P., </w:t>
      </w:r>
      <w:proofErr w:type="spellStart"/>
      <w:r w:rsidRPr="00BA4CA6">
        <w:rPr>
          <w:rFonts w:ascii="Times New Roman" w:eastAsia="Calibri" w:hAnsi="Times New Roman" w:cs="Times New Roman"/>
          <w:color w:val="000000"/>
        </w:rPr>
        <w:t>Bezbaruah</w:t>
      </w:r>
      <w:proofErr w:type="spellEnd"/>
      <w:r w:rsidRPr="00BA4CA6">
        <w:rPr>
          <w:rFonts w:ascii="Times New Roman" w:eastAsia="Calibri" w:hAnsi="Times New Roman" w:cs="Times New Roman"/>
          <w:color w:val="000000"/>
        </w:rPr>
        <w:t xml:space="preserve">, R., </w:t>
      </w:r>
      <w:proofErr w:type="spellStart"/>
      <w:r w:rsidRPr="00BA4CA6">
        <w:rPr>
          <w:rFonts w:ascii="Times New Roman" w:eastAsia="Calibri" w:hAnsi="Times New Roman" w:cs="Times New Roman"/>
          <w:color w:val="000000"/>
        </w:rPr>
        <w:t>Deka</w:t>
      </w:r>
      <w:proofErr w:type="spellEnd"/>
      <w:r w:rsidRPr="00BA4CA6">
        <w:rPr>
          <w:rFonts w:ascii="Times New Roman" w:eastAsia="Calibri" w:hAnsi="Times New Roman" w:cs="Times New Roman"/>
          <w:color w:val="000000"/>
        </w:rPr>
        <w:t xml:space="preserve">, K., </w:t>
      </w:r>
      <w:proofErr w:type="spellStart"/>
      <w:r w:rsidRPr="00BA4CA6">
        <w:rPr>
          <w:rFonts w:ascii="Times New Roman" w:eastAsia="Calibri" w:hAnsi="Times New Roman" w:cs="Times New Roman"/>
          <w:color w:val="000000"/>
        </w:rPr>
        <w:t>Nongrang</w:t>
      </w:r>
      <w:proofErr w:type="spellEnd"/>
      <w:r w:rsidRPr="00BA4CA6">
        <w:rPr>
          <w:rFonts w:ascii="Times New Roman" w:eastAsia="Calibri" w:hAnsi="Times New Roman" w:cs="Times New Roman"/>
          <w:color w:val="000000"/>
        </w:rPr>
        <w:t xml:space="preserve">, L., &amp; </w:t>
      </w:r>
      <w:proofErr w:type="spellStart"/>
      <w:r w:rsidRPr="00FE525A">
        <w:rPr>
          <w:rFonts w:ascii="Times New Roman" w:eastAsia="Calibri" w:hAnsi="Times New Roman" w:cs="Times New Roman"/>
          <w:b/>
          <w:color w:val="000000"/>
        </w:rPr>
        <w:t>Kalita</w:t>
      </w:r>
      <w:proofErr w:type="spellEnd"/>
      <w:r w:rsidRPr="00FE525A">
        <w:rPr>
          <w:rFonts w:ascii="Times New Roman" w:eastAsia="Calibri" w:hAnsi="Times New Roman" w:cs="Times New Roman"/>
          <w:b/>
          <w:color w:val="000000"/>
        </w:rPr>
        <w:t>, T.</w:t>
      </w:r>
      <w:r w:rsidRPr="00BA4CA6">
        <w:rPr>
          <w:rFonts w:ascii="Times New Roman" w:eastAsia="Calibri" w:hAnsi="Times New Roman" w:cs="Times New Roman"/>
          <w:color w:val="000000"/>
        </w:rPr>
        <w:t xml:space="preserve"> (2022). The Delta and Omicron Variants of SARS-CoV-2: What We Know So Far. Vaccines, 10(11), 1926.</w:t>
      </w:r>
    </w:p>
    <w:p w14:paraId="00000028" w14:textId="4177217D" w:rsidR="00525270" w:rsidRPr="00BA4CA6" w:rsidRDefault="009847D5" w:rsidP="009847D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BA4CA6">
        <w:rPr>
          <w:rFonts w:ascii="Times New Roman" w:eastAsia="Calibri" w:hAnsi="Times New Roman" w:cs="Times New Roman"/>
          <w:color w:val="000000"/>
        </w:rPr>
        <w:t>Chavda</w:t>
      </w:r>
      <w:proofErr w:type="spellEnd"/>
      <w:r w:rsidRPr="00BA4CA6">
        <w:rPr>
          <w:rFonts w:ascii="Times New Roman" w:eastAsia="Calibri" w:hAnsi="Times New Roman" w:cs="Times New Roman"/>
          <w:color w:val="000000"/>
        </w:rPr>
        <w:t xml:space="preserve">, V. P., </w:t>
      </w:r>
      <w:proofErr w:type="spellStart"/>
      <w:r w:rsidRPr="00BA4CA6">
        <w:rPr>
          <w:rFonts w:ascii="Times New Roman" w:eastAsia="Calibri" w:hAnsi="Times New Roman" w:cs="Times New Roman"/>
          <w:color w:val="000000"/>
        </w:rPr>
        <w:t>Bezbaruah</w:t>
      </w:r>
      <w:proofErr w:type="spellEnd"/>
      <w:r w:rsidRPr="00BA4CA6">
        <w:rPr>
          <w:rFonts w:ascii="Times New Roman" w:eastAsia="Calibri" w:hAnsi="Times New Roman" w:cs="Times New Roman"/>
          <w:color w:val="000000"/>
        </w:rPr>
        <w:t xml:space="preserve">, R., </w:t>
      </w:r>
      <w:proofErr w:type="spellStart"/>
      <w:r w:rsidRPr="00FE525A">
        <w:rPr>
          <w:rFonts w:ascii="Times New Roman" w:eastAsia="Calibri" w:hAnsi="Times New Roman" w:cs="Times New Roman"/>
          <w:b/>
          <w:color w:val="000000"/>
        </w:rPr>
        <w:t>Kalita</w:t>
      </w:r>
      <w:proofErr w:type="spellEnd"/>
      <w:r w:rsidRPr="00FE525A">
        <w:rPr>
          <w:rFonts w:ascii="Times New Roman" w:eastAsia="Calibri" w:hAnsi="Times New Roman" w:cs="Times New Roman"/>
          <w:b/>
          <w:color w:val="000000"/>
        </w:rPr>
        <w:t xml:space="preserve">, T., </w:t>
      </w:r>
      <w:proofErr w:type="spellStart"/>
      <w:r w:rsidRPr="00BA4CA6">
        <w:rPr>
          <w:rFonts w:ascii="Times New Roman" w:eastAsia="Calibri" w:hAnsi="Times New Roman" w:cs="Times New Roman"/>
          <w:color w:val="000000"/>
        </w:rPr>
        <w:t>Sarma</w:t>
      </w:r>
      <w:proofErr w:type="spellEnd"/>
      <w:r w:rsidRPr="00BA4CA6">
        <w:rPr>
          <w:rFonts w:ascii="Times New Roman" w:eastAsia="Calibri" w:hAnsi="Times New Roman" w:cs="Times New Roman"/>
          <w:color w:val="000000"/>
        </w:rPr>
        <w:t xml:space="preserve">, A., Devi, J. R., </w:t>
      </w:r>
      <w:proofErr w:type="spellStart"/>
      <w:r w:rsidRPr="00BA4CA6">
        <w:rPr>
          <w:rFonts w:ascii="Times New Roman" w:eastAsia="Calibri" w:hAnsi="Times New Roman" w:cs="Times New Roman"/>
          <w:color w:val="000000"/>
        </w:rPr>
        <w:t>Bania</w:t>
      </w:r>
      <w:proofErr w:type="spellEnd"/>
      <w:r w:rsidRPr="00BA4CA6">
        <w:rPr>
          <w:rFonts w:ascii="Times New Roman" w:eastAsia="Calibri" w:hAnsi="Times New Roman" w:cs="Times New Roman"/>
          <w:color w:val="000000"/>
        </w:rPr>
        <w:t xml:space="preserve">, R., &amp; </w:t>
      </w:r>
      <w:proofErr w:type="spellStart"/>
      <w:r w:rsidRPr="00BA4CA6">
        <w:rPr>
          <w:rFonts w:ascii="Times New Roman" w:eastAsia="Calibri" w:hAnsi="Times New Roman" w:cs="Times New Roman"/>
          <w:color w:val="000000"/>
        </w:rPr>
        <w:t>Apostolopoulos</w:t>
      </w:r>
      <w:proofErr w:type="spellEnd"/>
      <w:r w:rsidRPr="00BA4CA6">
        <w:rPr>
          <w:rFonts w:ascii="Times New Roman" w:eastAsia="Calibri" w:hAnsi="Times New Roman" w:cs="Times New Roman"/>
          <w:color w:val="000000"/>
        </w:rPr>
        <w:t>, V. (2022). Variant Influenza: connecting the missing dots. Expert Review of Anti-infective Therapy, 20(12), 1567-1585.</w:t>
      </w:r>
    </w:p>
    <w:p w14:paraId="718C2657" w14:textId="0BEED8A9" w:rsidR="00B80AB8" w:rsidRDefault="00E70681" w:rsidP="00BA7E7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FE525A">
        <w:rPr>
          <w:rFonts w:ascii="Times New Roman" w:eastAsia="Calibri" w:hAnsi="Times New Roman" w:cs="Times New Roman"/>
          <w:b/>
          <w:color w:val="000000"/>
        </w:rPr>
        <w:t>Kalita</w:t>
      </w:r>
      <w:proofErr w:type="spellEnd"/>
      <w:r w:rsidRPr="00FE525A">
        <w:rPr>
          <w:rFonts w:ascii="Times New Roman" w:eastAsia="Calibri" w:hAnsi="Times New Roman" w:cs="Times New Roman"/>
          <w:b/>
          <w:color w:val="000000"/>
        </w:rPr>
        <w:t>, T.,</w:t>
      </w:r>
      <w:r w:rsidRPr="00BA4CA6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BA4CA6">
        <w:rPr>
          <w:rFonts w:ascii="Times New Roman" w:eastAsia="Calibri" w:hAnsi="Times New Roman" w:cs="Times New Roman"/>
          <w:color w:val="000000"/>
        </w:rPr>
        <w:t>Deka</w:t>
      </w:r>
      <w:proofErr w:type="spellEnd"/>
      <w:r w:rsidRPr="00BA4CA6">
        <w:rPr>
          <w:rFonts w:ascii="Times New Roman" w:eastAsia="Calibri" w:hAnsi="Times New Roman" w:cs="Times New Roman"/>
          <w:color w:val="000000"/>
        </w:rPr>
        <w:t xml:space="preserve">, K., Devi, D., </w:t>
      </w:r>
      <w:proofErr w:type="spellStart"/>
      <w:r w:rsidRPr="00BA4CA6">
        <w:rPr>
          <w:rFonts w:ascii="Times New Roman" w:eastAsia="Calibri" w:hAnsi="Times New Roman" w:cs="Times New Roman"/>
          <w:color w:val="000000"/>
        </w:rPr>
        <w:t>Dewsaw</w:t>
      </w:r>
      <w:proofErr w:type="spellEnd"/>
      <w:r w:rsidRPr="00BA4CA6">
        <w:rPr>
          <w:rFonts w:ascii="Times New Roman" w:eastAsia="Calibri" w:hAnsi="Times New Roman" w:cs="Times New Roman"/>
          <w:color w:val="000000"/>
        </w:rPr>
        <w:t>, A. K. (2022). Traditionally used herbal remedies by the indigenous tribes of Meghalaya: A Review. CRJPAS, 5(1), 1-14.</w:t>
      </w:r>
    </w:p>
    <w:p w14:paraId="5A2DD8F2" w14:textId="427929F9" w:rsidR="00FE525A" w:rsidRPr="00FE525A" w:rsidRDefault="00FE525A" w:rsidP="00FE525A">
      <w:pPr>
        <w:rPr>
          <w:rFonts w:eastAsia="Calibri"/>
          <w:color w:val="000000"/>
          <w:u w:val="single"/>
        </w:rPr>
      </w:pPr>
      <w:r>
        <w:rPr>
          <w:rFonts w:eastAsia="Calibri"/>
          <w:color w:val="000000"/>
          <w:u w:val="single"/>
        </w:rPr>
        <w:t>List of Patents:</w:t>
      </w:r>
    </w:p>
    <w:p w14:paraId="2DD3744E" w14:textId="77777777" w:rsidR="00FE525A" w:rsidRDefault="00FE525A" w:rsidP="00FE525A">
      <w:pPr>
        <w:rPr>
          <w:lang w:eastAsia="en-IN"/>
        </w:rPr>
      </w:pPr>
    </w:p>
    <w:p w14:paraId="6B764ED8" w14:textId="77777777" w:rsidR="00FE525A" w:rsidRPr="00FE525A" w:rsidRDefault="00FE525A" w:rsidP="006E091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FE525A">
        <w:rPr>
          <w:rFonts w:ascii="Times New Roman" w:eastAsia="Calibri" w:hAnsi="Times New Roman" w:cs="Times New Roman"/>
          <w:color w:val="000000"/>
        </w:rPr>
        <w:t>Singha</w:t>
      </w:r>
      <w:proofErr w:type="spellEnd"/>
      <w:r w:rsidRPr="00FE525A">
        <w:rPr>
          <w:rFonts w:ascii="Times New Roman" w:eastAsia="Calibri" w:hAnsi="Times New Roman" w:cs="Times New Roman"/>
          <w:color w:val="000000"/>
        </w:rPr>
        <w:t xml:space="preserve"> R, </w:t>
      </w:r>
      <w:proofErr w:type="spellStart"/>
      <w:r w:rsidRPr="00FE525A">
        <w:rPr>
          <w:rFonts w:ascii="Times New Roman" w:eastAsia="Calibri" w:hAnsi="Times New Roman" w:cs="Times New Roman"/>
          <w:color w:val="000000"/>
        </w:rPr>
        <w:t>Siangshai</w:t>
      </w:r>
      <w:proofErr w:type="spellEnd"/>
      <w:r w:rsidRPr="00FE525A">
        <w:rPr>
          <w:rFonts w:ascii="Times New Roman" w:eastAsia="Calibri" w:hAnsi="Times New Roman" w:cs="Times New Roman"/>
          <w:color w:val="000000"/>
        </w:rPr>
        <w:t xml:space="preserve"> AG, </w:t>
      </w:r>
      <w:proofErr w:type="spellStart"/>
      <w:r w:rsidRPr="00FE525A">
        <w:rPr>
          <w:rFonts w:ascii="Times New Roman" w:eastAsia="Calibri" w:hAnsi="Times New Roman" w:cs="Times New Roman"/>
          <w:color w:val="000000"/>
        </w:rPr>
        <w:t>Warjri</w:t>
      </w:r>
      <w:proofErr w:type="spellEnd"/>
      <w:r w:rsidRPr="00FE525A">
        <w:rPr>
          <w:rFonts w:ascii="Times New Roman" w:eastAsia="Calibri" w:hAnsi="Times New Roman" w:cs="Times New Roman"/>
          <w:color w:val="000000"/>
        </w:rPr>
        <w:t xml:space="preserve"> I, </w:t>
      </w:r>
      <w:proofErr w:type="spellStart"/>
      <w:r w:rsidRPr="00FE525A">
        <w:rPr>
          <w:rFonts w:ascii="Times New Roman" w:eastAsia="Calibri" w:hAnsi="Times New Roman" w:cs="Times New Roman"/>
          <w:color w:val="000000"/>
        </w:rPr>
        <w:t>Jyrwa</w:t>
      </w:r>
      <w:proofErr w:type="spellEnd"/>
      <w:r w:rsidRPr="00FE525A">
        <w:rPr>
          <w:rFonts w:ascii="Times New Roman" w:eastAsia="Calibri" w:hAnsi="Times New Roman" w:cs="Times New Roman"/>
          <w:color w:val="000000"/>
        </w:rPr>
        <w:t xml:space="preserve"> R, </w:t>
      </w:r>
      <w:proofErr w:type="spellStart"/>
      <w:r w:rsidRPr="00FE525A">
        <w:rPr>
          <w:rFonts w:ascii="Times New Roman" w:eastAsia="Calibri" w:hAnsi="Times New Roman" w:cs="Times New Roman"/>
          <w:color w:val="000000"/>
        </w:rPr>
        <w:t>Mawlieh</w:t>
      </w:r>
      <w:proofErr w:type="spellEnd"/>
      <w:r w:rsidRPr="00FE525A">
        <w:rPr>
          <w:rFonts w:ascii="Times New Roman" w:eastAsia="Calibri" w:hAnsi="Times New Roman" w:cs="Times New Roman"/>
          <w:color w:val="000000"/>
        </w:rPr>
        <w:t xml:space="preserve"> BH, </w:t>
      </w:r>
      <w:proofErr w:type="spellStart"/>
      <w:r w:rsidRPr="00FE525A">
        <w:rPr>
          <w:rFonts w:ascii="Times New Roman" w:eastAsia="Calibri" w:hAnsi="Times New Roman" w:cs="Times New Roman"/>
          <w:color w:val="000000"/>
        </w:rPr>
        <w:t>Gogoi</w:t>
      </w:r>
      <w:proofErr w:type="spellEnd"/>
      <w:r w:rsidRPr="00FE525A">
        <w:rPr>
          <w:rFonts w:ascii="Times New Roman" w:eastAsia="Calibri" w:hAnsi="Times New Roman" w:cs="Times New Roman"/>
          <w:color w:val="000000"/>
        </w:rPr>
        <w:t xml:space="preserve"> B, Gam S, </w:t>
      </w:r>
      <w:proofErr w:type="spellStart"/>
      <w:r w:rsidRPr="001D1CDC">
        <w:rPr>
          <w:rFonts w:ascii="Times New Roman" w:eastAsia="Calibri" w:hAnsi="Times New Roman" w:cs="Times New Roman"/>
          <w:b/>
          <w:color w:val="000000"/>
        </w:rPr>
        <w:t>Kalita</w:t>
      </w:r>
      <w:proofErr w:type="spellEnd"/>
      <w:r w:rsidRPr="001D1CDC">
        <w:rPr>
          <w:rFonts w:ascii="Times New Roman" w:eastAsia="Calibri" w:hAnsi="Times New Roman" w:cs="Times New Roman"/>
          <w:b/>
          <w:color w:val="000000"/>
        </w:rPr>
        <w:t xml:space="preserve"> T</w:t>
      </w:r>
      <w:r w:rsidRPr="00FE525A">
        <w:rPr>
          <w:rFonts w:ascii="Times New Roman" w:eastAsia="Calibri" w:hAnsi="Times New Roman" w:cs="Times New Roman"/>
          <w:color w:val="000000"/>
        </w:rPr>
        <w:t>. Digital Writing Pad for Medical Recording. 2023. Indian Patent. Design no. 378151-001.</w:t>
      </w:r>
    </w:p>
    <w:p w14:paraId="64FA80BE" w14:textId="2CF610CA" w:rsidR="00FE525A" w:rsidRPr="002329A8" w:rsidRDefault="00FE525A" w:rsidP="002329A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FE525A">
        <w:rPr>
          <w:rFonts w:ascii="Times New Roman" w:eastAsia="Calibri" w:hAnsi="Times New Roman" w:cs="Times New Roman"/>
          <w:color w:val="000000"/>
        </w:rPr>
        <w:lastRenderedPageBreak/>
        <w:t>Singha</w:t>
      </w:r>
      <w:proofErr w:type="spellEnd"/>
      <w:r w:rsidRPr="00FE525A">
        <w:rPr>
          <w:rFonts w:ascii="Times New Roman" w:eastAsia="Calibri" w:hAnsi="Times New Roman" w:cs="Times New Roman"/>
          <w:color w:val="000000"/>
        </w:rPr>
        <w:t xml:space="preserve"> R, </w:t>
      </w:r>
      <w:proofErr w:type="spellStart"/>
      <w:r w:rsidRPr="00FE525A">
        <w:rPr>
          <w:rFonts w:ascii="Times New Roman" w:eastAsia="Calibri" w:hAnsi="Times New Roman" w:cs="Times New Roman"/>
          <w:color w:val="000000"/>
        </w:rPr>
        <w:t>Siangshai</w:t>
      </w:r>
      <w:proofErr w:type="spellEnd"/>
      <w:r w:rsidRPr="00FE525A">
        <w:rPr>
          <w:rFonts w:ascii="Times New Roman" w:eastAsia="Calibri" w:hAnsi="Times New Roman" w:cs="Times New Roman"/>
          <w:color w:val="000000"/>
        </w:rPr>
        <w:t xml:space="preserve"> AG, </w:t>
      </w:r>
      <w:proofErr w:type="spellStart"/>
      <w:r w:rsidRPr="00FE525A">
        <w:rPr>
          <w:rFonts w:ascii="Times New Roman" w:eastAsia="Calibri" w:hAnsi="Times New Roman" w:cs="Times New Roman"/>
          <w:color w:val="000000"/>
        </w:rPr>
        <w:t>Mawlieh</w:t>
      </w:r>
      <w:proofErr w:type="spellEnd"/>
      <w:r w:rsidRPr="00FE525A">
        <w:rPr>
          <w:rFonts w:ascii="Times New Roman" w:eastAsia="Calibri" w:hAnsi="Times New Roman" w:cs="Times New Roman"/>
          <w:color w:val="000000"/>
        </w:rPr>
        <w:t xml:space="preserve"> BH, </w:t>
      </w:r>
      <w:proofErr w:type="spellStart"/>
      <w:r w:rsidRPr="00FE525A">
        <w:rPr>
          <w:rFonts w:ascii="Times New Roman" w:eastAsia="Calibri" w:hAnsi="Times New Roman" w:cs="Times New Roman"/>
          <w:color w:val="000000"/>
        </w:rPr>
        <w:t>Siangshai</w:t>
      </w:r>
      <w:proofErr w:type="spellEnd"/>
      <w:r w:rsidRPr="00FE525A">
        <w:rPr>
          <w:rFonts w:ascii="Times New Roman" w:eastAsia="Calibri" w:hAnsi="Times New Roman" w:cs="Times New Roman"/>
          <w:color w:val="000000"/>
        </w:rPr>
        <w:t xml:space="preserve"> S, </w:t>
      </w:r>
      <w:proofErr w:type="spellStart"/>
      <w:r w:rsidRPr="001D1CDC">
        <w:rPr>
          <w:rFonts w:ascii="Times New Roman" w:eastAsia="Calibri" w:hAnsi="Times New Roman" w:cs="Times New Roman"/>
          <w:b/>
          <w:color w:val="000000"/>
        </w:rPr>
        <w:t>Kalita</w:t>
      </w:r>
      <w:proofErr w:type="spellEnd"/>
      <w:r w:rsidRPr="001D1CDC">
        <w:rPr>
          <w:rFonts w:ascii="Times New Roman" w:eastAsia="Calibri" w:hAnsi="Times New Roman" w:cs="Times New Roman"/>
          <w:b/>
          <w:color w:val="000000"/>
        </w:rPr>
        <w:t xml:space="preserve"> T</w:t>
      </w:r>
      <w:r w:rsidRPr="00FE525A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FE525A">
        <w:rPr>
          <w:rFonts w:ascii="Times New Roman" w:eastAsia="Calibri" w:hAnsi="Times New Roman" w:cs="Times New Roman"/>
          <w:color w:val="000000"/>
        </w:rPr>
        <w:t>Deka</w:t>
      </w:r>
      <w:proofErr w:type="spellEnd"/>
      <w:r w:rsidRPr="00FE525A">
        <w:rPr>
          <w:rFonts w:ascii="Times New Roman" w:eastAsia="Calibri" w:hAnsi="Times New Roman" w:cs="Times New Roman"/>
          <w:color w:val="000000"/>
        </w:rPr>
        <w:t xml:space="preserve"> K, </w:t>
      </w:r>
      <w:proofErr w:type="spellStart"/>
      <w:r w:rsidRPr="00FE525A">
        <w:rPr>
          <w:rFonts w:ascii="Times New Roman" w:eastAsia="Calibri" w:hAnsi="Times New Roman" w:cs="Times New Roman"/>
          <w:color w:val="000000"/>
        </w:rPr>
        <w:t>Gogoi</w:t>
      </w:r>
      <w:proofErr w:type="spellEnd"/>
      <w:r w:rsidRPr="00FE525A">
        <w:rPr>
          <w:rFonts w:ascii="Times New Roman" w:eastAsia="Calibri" w:hAnsi="Times New Roman" w:cs="Times New Roman"/>
          <w:color w:val="000000"/>
        </w:rPr>
        <w:t xml:space="preserve"> B, Gam S, </w:t>
      </w:r>
      <w:proofErr w:type="spellStart"/>
      <w:r w:rsidRPr="00FE525A">
        <w:rPr>
          <w:rFonts w:ascii="Times New Roman" w:eastAsia="Calibri" w:hAnsi="Times New Roman" w:cs="Times New Roman"/>
          <w:color w:val="000000"/>
        </w:rPr>
        <w:t>Verma</w:t>
      </w:r>
      <w:proofErr w:type="spellEnd"/>
      <w:r w:rsidRPr="00FE525A">
        <w:rPr>
          <w:rFonts w:ascii="Times New Roman" w:eastAsia="Calibri" w:hAnsi="Times New Roman" w:cs="Times New Roman"/>
          <w:color w:val="000000"/>
        </w:rPr>
        <w:t xml:space="preserve"> P. </w:t>
      </w:r>
      <w:proofErr w:type="spellStart"/>
      <w:r w:rsidRPr="00FE525A">
        <w:rPr>
          <w:rFonts w:ascii="Times New Roman" w:eastAsia="Calibri" w:hAnsi="Times New Roman" w:cs="Times New Roman"/>
          <w:color w:val="000000"/>
        </w:rPr>
        <w:t>Electroencephelography</w:t>
      </w:r>
      <w:proofErr w:type="spellEnd"/>
      <w:r w:rsidRPr="00FE525A">
        <w:rPr>
          <w:rFonts w:ascii="Times New Roman" w:eastAsia="Calibri" w:hAnsi="Times New Roman" w:cs="Times New Roman"/>
          <w:color w:val="000000"/>
        </w:rPr>
        <w:t xml:space="preserve"> (EEG) Monitoring System. 2023. Indian Patent. Design no. 380354-001.</w:t>
      </w:r>
    </w:p>
    <w:p w14:paraId="643F9841" w14:textId="48405EC0" w:rsidR="00BA7E78" w:rsidRPr="00FE525A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>Membership of Professional bodies:</w:t>
      </w:r>
      <w:r w:rsidR="005F5102">
        <w:rPr>
          <w:rFonts w:eastAsia="Calibri"/>
          <w:color w:val="000000"/>
          <w:u w:val="single"/>
        </w:rPr>
        <w:t xml:space="preserve"> </w:t>
      </w:r>
      <w:r w:rsidR="00FE525A" w:rsidRPr="00FE525A">
        <w:rPr>
          <w:rFonts w:eastAsia="Calibri"/>
          <w:color w:val="000000"/>
        </w:rPr>
        <w:t>Member of the Association of Pharmaceutical Teachers of India (APTI)</w:t>
      </w:r>
    </w:p>
    <w:p w14:paraId="00000041" w14:textId="039B5363" w:rsidR="00525270" w:rsidRDefault="00C345F3" w:rsidP="00BA4CA6">
      <w:pPr>
        <w:spacing w:before="280" w:line="360" w:lineRule="auto"/>
        <w:ind w:right="-360"/>
        <w:jc w:val="both"/>
        <w:rPr>
          <w:rFonts w:eastAsia="Calibri"/>
        </w:rPr>
      </w:pPr>
      <w:r w:rsidRPr="00BA7E78">
        <w:rPr>
          <w:rFonts w:eastAsia="Calibri"/>
          <w:u w:val="single"/>
        </w:rPr>
        <w:t>Award, Fellowship &amp; Recognition</w:t>
      </w:r>
      <w:r w:rsidR="00A23B6F">
        <w:rPr>
          <w:rFonts w:eastAsia="Calibri"/>
          <w:u w:val="single"/>
        </w:rPr>
        <w:t>:</w:t>
      </w:r>
      <w:r w:rsidR="005F5102">
        <w:rPr>
          <w:rFonts w:eastAsia="Calibri"/>
          <w:u w:val="single"/>
        </w:rPr>
        <w:t xml:space="preserve"> </w:t>
      </w:r>
      <w:r w:rsidR="005F5102" w:rsidRPr="005F5102">
        <w:rPr>
          <w:rFonts w:eastAsia="Calibri"/>
        </w:rPr>
        <w:t>Qualified GPAT in the year 2018.</w:t>
      </w:r>
      <w:bookmarkStart w:id="0" w:name="_heading=h.30j0zll" w:colFirst="0" w:colLast="0"/>
      <w:bookmarkEnd w:id="0"/>
    </w:p>
    <w:p w14:paraId="3F62D49C" w14:textId="77777777" w:rsidR="002329A8" w:rsidRPr="002329A8" w:rsidRDefault="002329A8" w:rsidP="00BA4CA6">
      <w:pPr>
        <w:spacing w:before="280" w:line="360" w:lineRule="auto"/>
        <w:ind w:right="-360"/>
        <w:jc w:val="both"/>
        <w:rPr>
          <w:rFonts w:eastAsia="Calibri"/>
        </w:rPr>
      </w:pPr>
    </w:p>
    <w:p w14:paraId="2EADBC6E" w14:textId="368AAA1C" w:rsidR="005F5102" w:rsidRDefault="005F5102" w:rsidP="00510D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noProof/>
          <w:lang w:val="en-IN" w:eastAsia="en-IN"/>
        </w:rPr>
      </w:pPr>
      <w:r w:rsidRPr="00BA7E78">
        <w:rPr>
          <w:rFonts w:eastAsia="Arial"/>
          <w:color w:val="000000"/>
          <w:sz w:val="22"/>
          <w:szCs w:val="22"/>
        </w:rPr>
        <w:t>Date:</w:t>
      </w:r>
      <w:r w:rsidR="00777C17">
        <w:rPr>
          <w:rFonts w:eastAsia="Arial"/>
          <w:color w:val="000000"/>
          <w:sz w:val="22"/>
          <w:szCs w:val="22"/>
        </w:rPr>
        <w:t xml:space="preserve"> 07</w:t>
      </w:r>
      <w:r w:rsidR="00BA4CA6">
        <w:rPr>
          <w:rFonts w:eastAsia="Arial"/>
          <w:color w:val="000000"/>
          <w:sz w:val="22"/>
          <w:szCs w:val="22"/>
        </w:rPr>
        <w:t>-0</w:t>
      </w:r>
      <w:r w:rsidR="00777C17">
        <w:rPr>
          <w:rFonts w:eastAsia="Arial"/>
          <w:color w:val="000000"/>
          <w:sz w:val="22"/>
          <w:szCs w:val="22"/>
        </w:rPr>
        <w:t>4</w:t>
      </w:r>
      <w:r w:rsidR="00BA4CA6">
        <w:rPr>
          <w:rFonts w:eastAsia="Arial"/>
          <w:color w:val="000000"/>
          <w:sz w:val="22"/>
          <w:szCs w:val="22"/>
        </w:rPr>
        <w:t>-</w:t>
      </w:r>
      <w:r w:rsidR="00777C17">
        <w:rPr>
          <w:rFonts w:eastAsia="Arial"/>
          <w:color w:val="000000"/>
          <w:sz w:val="22"/>
          <w:szCs w:val="22"/>
        </w:rPr>
        <w:t>2026</w:t>
      </w:r>
      <w:r w:rsidR="00BA4CA6">
        <w:rPr>
          <w:rFonts w:eastAsia="Arial"/>
          <w:color w:val="000000"/>
          <w:sz w:val="22"/>
          <w:szCs w:val="22"/>
        </w:rPr>
        <w:tab/>
      </w:r>
      <w:r w:rsidR="00BA4CA6">
        <w:rPr>
          <w:rFonts w:eastAsia="Arial"/>
          <w:color w:val="000000"/>
          <w:sz w:val="22"/>
          <w:szCs w:val="22"/>
        </w:rPr>
        <w:tab/>
      </w:r>
      <w:r>
        <w:rPr>
          <w:rFonts w:eastAsia="Arial"/>
          <w:color w:val="000000"/>
          <w:sz w:val="22"/>
          <w:szCs w:val="22"/>
        </w:rPr>
        <w:tab/>
      </w:r>
      <w:r>
        <w:rPr>
          <w:rFonts w:eastAsia="Arial"/>
          <w:color w:val="000000"/>
          <w:sz w:val="22"/>
          <w:szCs w:val="22"/>
        </w:rPr>
        <w:tab/>
      </w:r>
      <w:r>
        <w:rPr>
          <w:rFonts w:eastAsia="Arial"/>
          <w:color w:val="000000"/>
          <w:sz w:val="22"/>
          <w:szCs w:val="22"/>
        </w:rPr>
        <w:tab/>
      </w:r>
      <w:r>
        <w:rPr>
          <w:rFonts w:eastAsia="Arial"/>
          <w:color w:val="000000"/>
          <w:sz w:val="22"/>
          <w:szCs w:val="22"/>
        </w:rPr>
        <w:tab/>
      </w:r>
      <w:r>
        <w:rPr>
          <w:rFonts w:eastAsia="Arial"/>
          <w:color w:val="000000"/>
          <w:sz w:val="22"/>
          <w:szCs w:val="22"/>
        </w:rPr>
        <w:tab/>
      </w:r>
      <w:r>
        <w:rPr>
          <w:rFonts w:eastAsia="Arial"/>
          <w:color w:val="000000"/>
          <w:sz w:val="22"/>
          <w:szCs w:val="22"/>
        </w:rPr>
        <w:tab/>
      </w:r>
      <w:r>
        <w:rPr>
          <w:rFonts w:eastAsia="Arial"/>
          <w:color w:val="000000"/>
          <w:sz w:val="22"/>
          <w:szCs w:val="22"/>
        </w:rPr>
        <w:tab/>
      </w:r>
      <w:r>
        <w:rPr>
          <w:rFonts w:eastAsia="Arial"/>
          <w:color w:val="000000"/>
          <w:sz w:val="22"/>
          <w:szCs w:val="22"/>
        </w:rPr>
        <w:tab/>
      </w:r>
    </w:p>
    <w:p w14:paraId="16919A8C" w14:textId="5BDB88F9" w:rsidR="00510DFA" w:rsidRDefault="00510DFA" w:rsidP="00510D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jc w:val="right"/>
        <w:rPr>
          <w:rFonts w:eastAsia="Arial"/>
          <w:color w:val="000000"/>
        </w:rPr>
      </w:pPr>
      <w:r>
        <w:rPr>
          <w:noProof/>
          <w:lang w:val="en-IN" w:eastAsia="en-IN"/>
        </w:rPr>
        <w:drawing>
          <wp:inline distT="0" distB="0" distL="0" distR="0" wp14:anchorId="10229C1D" wp14:editId="1ACBCE58">
            <wp:extent cx="1116327" cy="6286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734" cy="64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43" w14:textId="2460CD4B" w:rsidR="00525270" w:rsidRPr="005F5102" w:rsidRDefault="00C345F3" w:rsidP="005F51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right"/>
        <w:rPr>
          <w:rFonts w:eastAsia="Arial"/>
          <w:color w:val="000000"/>
        </w:rPr>
      </w:pPr>
      <w:r w:rsidRPr="00BA7E78">
        <w:rPr>
          <w:rFonts w:eastAsia="Arial"/>
          <w:color w:val="000000"/>
          <w:sz w:val="22"/>
          <w:szCs w:val="22"/>
        </w:rPr>
        <w:tab/>
      </w:r>
      <w:r w:rsidR="00440009">
        <w:rPr>
          <w:rFonts w:eastAsia="Arial"/>
          <w:color w:val="000000"/>
          <w:sz w:val="22"/>
          <w:szCs w:val="22"/>
        </w:rPr>
        <w:t xml:space="preserve">                                                                                            </w:t>
      </w:r>
      <w:r w:rsidR="00777C17">
        <w:rPr>
          <w:rFonts w:eastAsia="Arial"/>
          <w:color w:val="000000"/>
          <w:sz w:val="22"/>
          <w:szCs w:val="22"/>
        </w:rPr>
        <w:t xml:space="preserve">                            </w:t>
      </w:r>
      <w:bookmarkStart w:id="1" w:name="_GoBack"/>
      <w:bookmarkEnd w:id="1"/>
      <w:r w:rsidR="00440009">
        <w:rPr>
          <w:rFonts w:eastAsia="Arial"/>
          <w:color w:val="000000"/>
          <w:sz w:val="22"/>
          <w:szCs w:val="22"/>
        </w:rPr>
        <w:t xml:space="preserve">       </w:t>
      </w:r>
      <w:r w:rsidR="00440009" w:rsidRPr="00BA7E78">
        <w:rPr>
          <w:rFonts w:eastAsia="Arial"/>
          <w:color w:val="000000"/>
          <w:sz w:val="22"/>
          <w:szCs w:val="22"/>
        </w:rPr>
        <w:t>(</w:t>
      </w:r>
      <w:r w:rsidR="00777C17">
        <w:rPr>
          <w:rFonts w:eastAsia="Arial"/>
          <w:color w:val="000000"/>
          <w:sz w:val="22"/>
          <w:szCs w:val="22"/>
        </w:rPr>
        <w:t xml:space="preserve">Dr. </w:t>
      </w:r>
      <w:proofErr w:type="spellStart"/>
      <w:r w:rsidR="005F5102">
        <w:rPr>
          <w:rFonts w:eastAsia="Arial"/>
          <w:color w:val="000000"/>
          <w:sz w:val="22"/>
          <w:szCs w:val="22"/>
        </w:rPr>
        <w:t>Tutumoni</w:t>
      </w:r>
      <w:proofErr w:type="spellEnd"/>
      <w:r w:rsidR="005F5102">
        <w:rPr>
          <w:rFonts w:eastAsia="Arial"/>
          <w:color w:val="000000"/>
          <w:sz w:val="22"/>
          <w:szCs w:val="22"/>
        </w:rPr>
        <w:t xml:space="preserve"> </w:t>
      </w:r>
      <w:proofErr w:type="spellStart"/>
      <w:r w:rsidR="005F5102">
        <w:rPr>
          <w:rFonts w:eastAsia="Arial"/>
          <w:color w:val="000000"/>
          <w:sz w:val="22"/>
          <w:szCs w:val="22"/>
        </w:rPr>
        <w:t>Kalita</w:t>
      </w:r>
      <w:proofErr w:type="spellEnd"/>
      <w:r w:rsidR="00BA4CA6">
        <w:rPr>
          <w:rFonts w:eastAsia="Arial"/>
          <w:color w:val="000000"/>
          <w:sz w:val="22"/>
          <w:szCs w:val="22"/>
        </w:rPr>
        <w:t>)</w:t>
      </w:r>
      <w:r w:rsidRPr="00BA7E78">
        <w:rPr>
          <w:rFonts w:eastAsia="Arial"/>
          <w:color w:val="000000"/>
          <w:sz w:val="22"/>
          <w:szCs w:val="22"/>
        </w:rPr>
        <w:tab/>
        <w:t xml:space="preserve">  </w:t>
      </w:r>
      <w:r w:rsidR="008B5954">
        <w:rPr>
          <w:rFonts w:eastAsia="Arial"/>
          <w:color w:val="000000"/>
          <w:sz w:val="22"/>
          <w:szCs w:val="22"/>
        </w:rPr>
        <w:t xml:space="preserve">                                                                     </w:t>
      </w:r>
      <w:r w:rsidR="006279A4">
        <w:rPr>
          <w:rFonts w:eastAsia="Arial"/>
          <w:color w:val="000000"/>
          <w:sz w:val="22"/>
          <w:szCs w:val="22"/>
        </w:rPr>
        <w:t xml:space="preserve">              </w:t>
      </w:r>
      <w:r w:rsidR="008B5954">
        <w:rPr>
          <w:rFonts w:eastAsia="Arial"/>
          <w:color w:val="000000"/>
          <w:sz w:val="22"/>
          <w:szCs w:val="22"/>
        </w:rPr>
        <w:t xml:space="preserve">      </w:t>
      </w:r>
      <w:r w:rsidRPr="00BA7E78">
        <w:rPr>
          <w:rFonts w:eastAsia="Arial"/>
          <w:color w:val="000000"/>
          <w:sz w:val="22"/>
          <w:szCs w:val="22"/>
        </w:rPr>
        <w:t xml:space="preserve">                                    </w:t>
      </w:r>
      <w:r w:rsidR="00BA7E78" w:rsidRPr="00BA7E78">
        <w:rPr>
          <w:rFonts w:eastAsia="Arial"/>
          <w:color w:val="000000"/>
          <w:sz w:val="22"/>
          <w:szCs w:val="22"/>
        </w:rPr>
        <w:t xml:space="preserve">                   </w:t>
      </w:r>
      <w:r w:rsidR="00440009">
        <w:rPr>
          <w:rFonts w:eastAsia="Arial"/>
          <w:color w:val="000000"/>
          <w:sz w:val="22"/>
          <w:szCs w:val="22"/>
        </w:rPr>
        <w:t xml:space="preserve">                   </w:t>
      </w:r>
    </w:p>
    <w:sectPr w:rsidR="00525270" w:rsidRPr="005F5102" w:rsidSect="00440009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62926" w14:textId="77777777" w:rsidR="00142DD8" w:rsidRDefault="00142DD8">
      <w:r>
        <w:separator/>
      </w:r>
    </w:p>
  </w:endnote>
  <w:endnote w:type="continuationSeparator" w:id="0">
    <w:p w14:paraId="1EE478D4" w14:textId="77777777" w:rsidR="00142DD8" w:rsidRDefault="0014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4" w14:textId="39C01788" w:rsidR="00525270" w:rsidRDefault="00C345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7C17">
      <w:rPr>
        <w:noProof/>
        <w:color w:val="000000"/>
      </w:rPr>
      <w:t>1</w:t>
    </w:r>
    <w:r>
      <w:rPr>
        <w:color w:val="000000"/>
      </w:rPr>
      <w:fldChar w:fldCharType="end"/>
    </w:r>
  </w:p>
  <w:p w14:paraId="00000045" w14:textId="77777777" w:rsidR="00525270" w:rsidRDefault="00525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E3311" w14:textId="77777777" w:rsidR="00142DD8" w:rsidRDefault="00142DD8">
      <w:r>
        <w:separator/>
      </w:r>
    </w:p>
  </w:footnote>
  <w:footnote w:type="continuationSeparator" w:id="0">
    <w:p w14:paraId="49C1B0EA" w14:textId="77777777" w:rsidR="00142DD8" w:rsidRDefault="00142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345F9"/>
    <w:multiLevelType w:val="hybridMultilevel"/>
    <w:tmpl w:val="31BC75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5B954C6"/>
    <w:multiLevelType w:val="hybridMultilevel"/>
    <w:tmpl w:val="2AE85D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A779A"/>
    <w:multiLevelType w:val="hybridMultilevel"/>
    <w:tmpl w:val="445CD4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022B1"/>
    <w:multiLevelType w:val="hybridMultilevel"/>
    <w:tmpl w:val="DCC62E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D58C4"/>
    <w:multiLevelType w:val="hybridMultilevel"/>
    <w:tmpl w:val="445CD4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E4F70"/>
    <w:multiLevelType w:val="hybridMultilevel"/>
    <w:tmpl w:val="62781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70"/>
    <w:rsid w:val="00142DD8"/>
    <w:rsid w:val="001D1CDC"/>
    <w:rsid w:val="002329A8"/>
    <w:rsid w:val="00267C0C"/>
    <w:rsid w:val="0031298F"/>
    <w:rsid w:val="0031603F"/>
    <w:rsid w:val="003A61B3"/>
    <w:rsid w:val="003B1071"/>
    <w:rsid w:val="003E120F"/>
    <w:rsid w:val="003F780E"/>
    <w:rsid w:val="004251ED"/>
    <w:rsid w:val="00440009"/>
    <w:rsid w:val="00496CC1"/>
    <w:rsid w:val="004C402B"/>
    <w:rsid w:val="00510DFA"/>
    <w:rsid w:val="00525270"/>
    <w:rsid w:val="00535C37"/>
    <w:rsid w:val="005862A5"/>
    <w:rsid w:val="005F5102"/>
    <w:rsid w:val="00623E70"/>
    <w:rsid w:val="006279A4"/>
    <w:rsid w:val="006E091A"/>
    <w:rsid w:val="007729BC"/>
    <w:rsid w:val="00777C17"/>
    <w:rsid w:val="007E7937"/>
    <w:rsid w:val="007F2871"/>
    <w:rsid w:val="008B5954"/>
    <w:rsid w:val="008D066F"/>
    <w:rsid w:val="009847D5"/>
    <w:rsid w:val="00A21FD8"/>
    <w:rsid w:val="00A23B6F"/>
    <w:rsid w:val="00B80AB8"/>
    <w:rsid w:val="00BA4CA6"/>
    <w:rsid w:val="00BA7E78"/>
    <w:rsid w:val="00C345F3"/>
    <w:rsid w:val="00C505B2"/>
    <w:rsid w:val="00CB30FC"/>
    <w:rsid w:val="00D14798"/>
    <w:rsid w:val="00D5395B"/>
    <w:rsid w:val="00E30090"/>
    <w:rsid w:val="00E35D76"/>
    <w:rsid w:val="00E70681"/>
    <w:rsid w:val="00EC476A"/>
    <w:rsid w:val="00F460B4"/>
    <w:rsid w:val="00F93F0E"/>
    <w:rsid w:val="00FE525A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F0FD"/>
  <w15:docId w15:val="{6B87B383-866F-B041-B589-191535EB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Tutumoni Kalita</cp:lastModifiedBy>
  <cp:revision>4</cp:revision>
  <cp:lastPrinted>2025-09-15T10:02:00Z</cp:lastPrinted>
  <dcterms:created xsi:type="dcterms:W3CDTF">2025-09-15T10:03:00Z</dcterms:created>
  <dcterms:modified xsi:type="dcterms:W3CDTF">2026-04-07T08:53:00Z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</Properties>
</file>